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101__20"/>
      <w:bookmarkEnd w:id="2"/>
      <w:r>
        <w:rPr>
          <w:rFonts w:ascii="Times New Roman;Times;Serif" w:hAnsi="Times New Roman;Times;Serif"/>
          <w:b/>
          <w:i w:val="false"/>
          <w:caps w:val="false"/>
          <w:smallCaps w:val="false"/>
          <w:sz w:val="36"/>
        </w:rPr>
        <w:t>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bookmarkStart w:id="3" w:name="xdx_907_edei--EntityRegistrantName_c2026"/>
      <w:bookmarkEnd w:id="3"/>
      <w:r>
        <w:rPr>
          <w:rFonts w:ascii="Times New Roman;Times;Serif" w:hAnsi="Times New Roman;Times;Serif"/>
          <w:b/>
          <w:i w:val="false"/>
          <w:caps/>
          <w:sz w:val="36"/>
        </w:rPr>
        <w:t>Viomi Technology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7 Licun Industrial Avenue, Lunjiao Subdistrict, Shunde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Guangdong, 528308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Incorporation by Reference</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current report on Form 6-K is hereby incorporated by reference in the registration statement of Viomi Technology Co., Ltd on Form F-3 (No. </w:t>
      </w:r>
      <w:hyperlink r:id="rId2">
        <w:r>
          <w:rPr>
            <w:rStyle w:val="InternetLink"/>
            <w:rFonts w:ascii="Times New Roman;Times;Serif" w:hAnsi="Times New Roman;Times;Serif"/>
            <w:b w:val="false"/>
            <w:i w:val="false"/>
            <w:caps w:val="false"/>
            <w:smallCaps w:val="false"/>
            <w:sz w:val="20"/>
          </w:rPr>
          <w:t>333-297335</w:t>
        </w:r>
      </w:hyperlink>
      <w:r>
        <w:rPr>
          <w:rFonts w:ascii="Times New Roman;Times;Serif" w:hAnsi="Times New Roman;Times;Serif"/>
          <w:b w:val="false"/>
          <w:i w:val="false"/>
          <w:caps w:val="false"/>
          <w:smallCaps w:val="false"/>
          <w:sz w:val="20"/>
        </w:rPr>
        <w:t xml:space="preserve">) and Form S-8 (No. </w:t>
      </w:r>
      <w:hyperlink r:id="rId3">
        <w:r>
          <w:rPr>
            <w:rStyle w:val="InternetLink"/>
            <w:rFonts w:ascii="Times New Roman;Times;Serif" w:hAnsi="Times New Roman;Times;Serif"/>
            <w:b w:val="false"/>
            <w:i w:val="false"/>
            <w:caps w:val="false"/>
            <w:smallCaps w:val="false"/>
            <w:sz w:val="20"/>
          </w:rPr>
          <w:t>333-230431</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0"/>
        <w:gridCol w:w="23"/>
        <w:gridCol w:w="260"/>
        <w:gridCol w:w="9062"/>
      </w:tblGrid>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99.1</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pPr>
            <w:hyperlink w:anchor="ex99-1.htm">
              <w:r>
                <w:rPr>
                  <w:rStyle w:val="InternetLink"/>
                  <w:rFonts w:ascii="Times New Roman;Times;Serif" w:hAnsi="Times New Roman;Times;Serif"/>
                </w:rPr>
                <w:t>Unaudited Condensed Consolidated Financial Statements of Viomi Technology Co., Ltd</w:t>
              </w:r>
            </w:hyperlink>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Instance Document—this instance document does not appear in the Interactive Data File because its XBRL tags embedded within the Inline XBRL document</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101.SCH</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Schema Document</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Calculation Linkbase Document</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Definition Linkbase Document</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Label Linkbase Document</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Presentation Linkbase Document</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w:t>
            </w:r>
          </w:p>
        </w:tc>
        <w:tc>
          <w:tcPr>
            <w:tcW w:w="9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5"/>
        <w:gridCol w:w="606"/>
        <w:gridCol w:w="21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73"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ex99-1.htm"/>
      <w:bookmarkStart w:id="5" w:name="ks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toc"/>
      <w:bookmarkEnd w:id="6"/>
      <w:r>
        <w:rPr>
          <w:rFonts w:ascii="Times New Roman;Times;Serif" w:hAnsi="Times New Roman;Times;Serif"/>
          <w:b/>
          <w:i w:val="false"/>
          <w:caps w:val="false"/>
          <w:smallCaps w:val="false"/>
          <w:sz w:val="20"/>
        </w:rPr>
        <w:t>INDEX TO THE UNAUDITED CONDENSED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ex99-1_001">
              <w:r>
                <w:rPr>
                  <w:rStyle w:val="InternetLink"/>
                  <w:rFonts w:ascii="Times New Roman;Times;Serif" w:hAnsi="Times New Roman;Times;Serif"/>
                  <w:b w:val="false"/>
                  <w:i w:val="false"/>
                  <w:caps w:val="false"/>
                  <w:smallCaps w:val="false"/>
                  <w:sz w:val="20"/>
                </w:rPr>
                <w:t>Unaudited Condensed Consolidated Balance Sheets as of December 31, 2025 and June 30, 2026</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ex99-1_002">
              <w:r>
                <w:rPr>
                  <w:rStyle w:val="InternetLink"/>
                  <w:rFonts w:ascii="Times New Roman;Times;Serif" w:hAnsi="Times New Roman;Times;Serif"/>
                  <w:b w:val="false"/>
                  <w:i w:val="false"/>
                  <w:caps w:val="false"/>
                  <w:smallCaps w:val="false"/>
                  <w:sz w:val="20"/>
                </w:rPr>
                <w:t>Unaudited Condensed Consolidated Statements of Comprehensive Income (Loss) for the Six months Ended June 30, 2025 and 2026</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ex99-1_003">
              <w:r>
                <w:rPr>
                  <w:rStyle w:val="InternetLink"/>
                  <w:rFonts w:ascii="Times New Roman;Times;Serif" w:hAnsi="Times New Roman;Times;Serif"/>
                  <w:b w:val="false"/>
                  <w:i w:val="false"/>
                  <w:caps w:val="false"/>
                  <w:smallCaps w:val="false"/>
                  <w:sz w:val="20"/>
                </w:rPr>
                <w:t>Unaudited Condensed Consolidated Statements of Changes in Shareholders’ Equity for the Six months Ended June 30, 2025 and 2026</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ex99-1_004">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2025 and 2026</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ex99-1_005">
              <w:r>
                <w:rPr>
                  <w:rStyle w:val="InternetLink"/>
                  <w:rFonts w:ascii="Times New Roman;Times;Serif" w:hAnsi="Times New Roman;Times;Serif"/>
                  <w:b w:val="false"/>
                  <w:i w:val="false"/>
                  <w:caps w:val="false"/>
                  <w:smallCaps w:val="false"/>
                  <w:sz w:val="20"/>
                </w:rPr>
                <w:t>Notes to the Unaudited Condensed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ex99-1_001"/>
      <w:bookmarkEnd w:id="7"/>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8" w:name="xdx_300_111_pn3n3_zGnVVOifo1Ee"/>
      <w:bookmarkStart w:id="9" w:name="xdx_300_111_pn3n3_zGnVVOifo1Ee"/>
      <w:bookmarkEnd w:id="9"/>
    </w:p>
    <w:tbl>
      <w:tblPr>
        <w:tblW w:w="10205" w:type="dxa"/>
        <w:jc w:val="left"/>
        <w:tblInd w:w="0" w:type="dxa"/>
        <w:tblLayout w:type="fixed"/>
        <w:tblCellMar>
          <w:top w:w="0" w:type="dxa"/>
          <w:left w:w="0" w:type="dxa"/>
          <w:bottom w:w="0" w:type="dxa"/>
          <w:right w:w="0" w:type="dxa"/>
        </w:tblCellMar>
      </w:tblPr>
      <w:tblGrid>
        <w:gridCol w:w="6950"/>
        <w:gridCol w:w="60"/>
        <w:gridCol w:w="74"/>
        <w:gridCol w:w="1057"/>
        <w:gridCol w:w="80"/>
        <w:gridCol w:w="60"/>
        <w:gridCol w:w="60"/>
        <w:gridCol w:w="845"/>
        <w:gridCol w:w="80"/>
        <w:gridCol w:w="60"/>
        <w:gridCol w:w="62"/>
        <w:gridCol w:w="720"/>
        <w:gridCol w:w="97"/>
      </w:tblGrid>
      <w:tr>
        <w:trPr/>
        <w:tc>
          <w:tcPr>
            <w:tcW w:w="69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 w:name="xdx_496_20251231_zpJFc2n6Kxx5"/>
            <w:bookmarkEnd w:id="10"/>
          </w:p>
        </w:tc>
        <w:tc>
          <w:tcPr>
            <w:tcW w:w="11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 w:name="xdx_496_20260630_zlZocqviM6S3"/>
            <w:bookmarkEnd w:id="11"/>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1"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(Note2(e))</w:t>
            </w:r>
          </w:p>
        </w:tc>
        <w:tc>
          <w:tcPr>
            <w:tcW w:w="97" w:type="dxa"/>
            <w:tcBorders/>
            <w:vAlign w:val="center"/>
          </w:tcPr>
          <w:p>
            <w:pPr>
              <w:pStyle w:val="TableContents"/>
              <w:bidi w:val="0"/>
              <w:spacing w:before="0" w:after="283"/>
              <w:jc w:val="left"/>
              <w:rPr>
                <w:caps w:val="false"/>
                <w:smallCaps w:val="false"/>
              </w:rPr>
            </w:pPr>
            <w:r>
              <w:rPr>
                <w:caps w:val="false"/>
                <w:smallCaps w:val="false"/>
              </w:rPr>
              <w:t> </w:t>
            </w:r>
            <w:bookmarkStart w:id="12" w:name="xdx_406_eus-gaap--AssetsAbstract_iB_zXxi"/>
            <w:bookmarkEnd w:id="12"/>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 w:name="xdx_401_eus-gaap--AssetsCurrentAbstract_"/>
            <w:bookmarkEnd w:id="13"/>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 w:name="xdx_407_eus-gaap--CashAndCashEquivalents"/>
            <w:bookmarkEnd w:id="14"/>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603,790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sz w:val="4"/>
                <w:szCs w:val="4"/>
              </w:rPr>
            </w:pPr>
            <w:r>
              <w:rPr>
                <w:sz w:val="4"/>
                <w:szCs w:val="4"/>
              </w:rPr>
            </w:r>
            <w:bookmarkStart w:id="15" w:name="xdx_980_eus-gaap--CashAndCashEquivalents"/>
            <w:bookmarkStart w:id="16" w:name="xdx_980_eus-gaap--CashAndCashEquivalents"/>
            <w:bookmarkEnd w:id="16"/>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88,988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 w:name="xdx_409_eus-gaap--RestrictedCashCurrent_"/>
            <w:bookmarkEnd w:id="17"/>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 w:name="xdx_987_eus-gaap--RestrictedCashCurrent_"/>
            <w:bookmarkEnd w:id="18"/>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22,599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 w:name="xdx_40B_ecustom--ShortTermDeposit_i02I_m"/>
            <w:bookmarkEnd w:id="19"/>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 w:name="xdx_986_ecustom--ShortTermDeposit_iI_pn3"/>
            <w:bookmarkEnd w:id="20"/>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41,156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 w:name="xdx_40F_eus-gaap--ShortTermInvestments_i"/>
            <w:bookmarkEnd w:id="21"/>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 w:name="xdx_983_eus-gaap--ShortTermInvestments_i"/>
            <w:bookmarkEnd w:id="22"/>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 w:name="xdx_403_eus-gaap--AccountsReceivableNetC"/>
            <w:bookmarkEnd w:id="23"/>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notes receivable from third parties (net of allowance of RMB</w:t>
            </w:r>
            <w:bookmarkStart w:id="24" w:name="xdx_902_eus-gaap--AllowanceForDoubtfulAc"/>
            <w:bookmarkEnd w:id="24"/>
            <w:r>
              <w:rPr>
                <w:rFonts w:ascii="Times New Roman;Times;Serif" w:hAnsi="Times New Roman;Times;Serif"/>
                <w:b w:val="false"/>
                <w:i w:val="false"/>
                <w:caps w:val="false"/>
                <w:smallCaps w:val="false"/>
                <w:sz w:val="20"/>
              </w:rPr>
              <w:t>6,750 and RMB</w:t>
            </w:r>
            <w:bookmarkStart w:id="25" w:name="xdx_908_eus-gaap--AllowanceForDoubtfulAc"/>
            <w:bookmarkEnd w:id="25"/>
            <w:r>
              <w:rPr>
                <w:rFonts w:ascii="Times New Roman;Times;Serif" w:hAnsi="Times New Roman;Times;Serif"/>
                <w:b w:val="false"/>
                <w:i w:val="false"/>
                <w:caps w:val="false"/>
                <w:smallCaps w:val="false"/>
                <w:sz w:val="20"/>
              </w:rPr>
              <w:t>5,334 as of December 31, 2025 and June 30, 2026,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 w:name="xdx_98D_eus-gaap--AccountsReceivableNetC"/>
            <w:bookmarkEnd w:id="26"/>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 w:name="xdx_401_eus-gaap--AccountsReceivableNetC"/>
            <w:bookmarkEnd w:id="27"/>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from related parties (net of allowance of </w:t>
            </w:r>
            <w:bookmarkStart w:id="28" w:name="xdx_90A_eus-gaap--AllowanceForDoubtfulAc"/>
            <w:bookmarkStart w:id="29" w:name="xdx_907_eus-gaap--AllowanceForDoubtfulAc"/>
            <w:bookmarkEnd w:id="28"/>
            <w:bookmarkEnd w:id="29"/>
            <w:r>
              <w:rPr>
                <w:rFonts w:ascii="Times New Roman;Times;Serif" w:hAnsi="Times New Roman;Times;Serif"/>
                <w:b w:val="false"/>
                <w:i w:val="false"/>
                <w:caps w:val="false"/>
                <w:smallCaps w:val="false"/>
                <w:sz w:val="20"/>
              </w:rPr>
              <w:t>nil as of December 31, 2025 and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 w:name="xdx_98E_eus-gaap--AccountsReceivableNetC"/>
            <w:bookmarkEnd w:id="30"/>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 w:name="xdx_407_eus-gaap--AccountsReceivableNetC"/>
            <w:bookmarkEnd w:id="31"/>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 w:name="xdx_985_eus-gaap--AccountsReceivableNetC"/>
            <w:bookmarkEnd w:id="32"/>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 w:name="xdx_404_ecustom--OtherReceivablesFromRel"/>
            <w:bookmarkEnd w:id="33"/>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receivables from related parties (net of allowance of </w:t>
            </w:r>
            <w:bookmarkStart w:id="34" w:name="xdx_901_eus-gaap--AllowanceForDoubtfulOt"/>
            <w:bookmarkStart w:id="35" w:name="xdx_904_eus-gaap--AllowanceForDoubtfulOt"/>
            <w:bookmarkEnd w:id="34"/>
            <w:bookmarkEnd w:id="35"/>
            <w:r>
              <w:rPr>
                <w:rFonts w:ascii="Times New Roman;Times;Serif" w:hAnsi="Times New Roman;Times;Serif"/>
                <w:b w:val="false"/>
                <w:i w:val="false"/>
                <w:caps w:val="false"/>
                <w:smallCaps w:val="false"/>
                <w:sz w:val="20"/>
              </w:rPr>
              <w:t>nil as of December 31, 2025 and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 w:name="xdx_98D_ecustom--OtherReceivablesFromRel"/>
            <w:bookmarkEnd w:id="36"/>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7" w:name="xdx_40E_eus-gaap--InventoryNet_i02I_maAC"/>
            <w:bookmarkEnd w:id="37"/>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 w:name="xdx_98C_eus-gaap--InventoryNet_iI_pn3n3_"/>
            <w:bookmarkEnd w:id="38"/>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9" w:name="xdx_408_eus-gaap--PrepaidExpenseAndOther"/>
            <w:bookmarkEnd w:id="39"/>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0" w:name="xdx_98D_eus-gaap--PrepaidExpenseAndOther"/>
            <w:bookmarkEnd w:id="40"/>
          </w:p>
        </w:tc>
        <w:tc>
          <w:tcPr>
            <w:tcW w:w="7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 w:name="xdx_40B_eus-gaap--AssetsCurrent_i02TI_mt"/>
            <w:bookmarkEnd w:id="41"/>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1,960,461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1,790,366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 w:name="xdx_983_eus-gaap--AssetsCurrent_iTI_pn3n"/>
            <w:bookmarkEnd w:id="42"/>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263,868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 w:name="xdx_408_eus-gaap--AssetsNoncurrentAbstra"/>
            <w:bookmarkEnd w:id="43"/>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 w:name="xdx_401_eus-gaap--PrepaidExpenseAndOther"/>
            <w:bookmarkEnd w:id="44"/>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 w:name="xdx_981_eus-gaap--PrepaidExpenseAndOther"/>
            <w:bookmarkEnd w:id="45"/>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 w:name="xdx_409_eus-gaap--PropertyPlantAndEquipm"/>
            <w:bookmarkEnd w:id="4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 w:name="xdx_987_eus-gaap--PropertyPlantAndEquipm"/>
            <w:bookmarkEnd w:id="47"/>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45,895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 w:name="xdx_40C_ecustom--LongtermDeposits_i02I_m"/>
            <w:bookmarkEnd w:id="48"/>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 w:name="xdx_981_ecustom--LongtermDeposits_iI_pn3"/>
            <w:bookmarkEnd w:id="49"/>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 w:name="xdx_40D_eus-gaap--DeferredIncomeTaxAsset"/>
            <w:bookmarkEnd w:id="50"/>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 w:name="xdx_986_eus-gaap--DeferredIncomeTaxAsset"/>
            <w:bookmarkEnd w:id="51"/>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 w:name="xdx_406_eus-gaap--IntangibleAssetsNetExc"/>
            <w:bookmarkEnd w:id="52"/>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 w:name="xdx_98F_eus-gaap--IntangibleAssetsNetExc"/>
            <w:bookmarkEnd w:id="53"/>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 w:name="xdx_40E_eus-gaap--OperatingLeaseRightOfU"/>
            <w:bookmarkEnd w:id="54"/>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 w:name="xdx_98D_eus-gaap--OperatingLeaseRightOfU"/>
            <w:bookmarkEnd w:id="55"/>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 w:name="xdx_40C_ecustom--LandUseRightsNet_i02I_m"/>
            <w:bookmarkEnd w:id="56"/>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 w:name="xdx_98E_ecustom--LandUseRightsNet_iI_pn3"/>
            <w:bookmarkEnd w:id="57"/>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 w:name="xdx_403_eus-gaap--LongTermInvestments_i0"/>
            <w:bookmarkEnd w:id="58"/>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9" w:name="xdx_985_eus-gaap--LongTermInvestments_iI"/>
            <w:bookmarkEnd w:id="59"/>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 w:name="xdx_407_eus-gaap--AssetsNoncurrent_i02TI"/>
            <w:bookmarkEnd w:id="60"/>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1" w:name="xdx_98C_eus-gaap--AssetsNoncurrent_iTI_p"/>
            <w:bookmarkEnd w:id="61"/>
          </w:p>
        </w:tc>
        <w:tc>
          <w:tcPr>
            <w:tcW w:w="7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68,809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2" w:name="xdx_405_eus-gaap--Assets_iTI_mtAzL9V_zVh"/>
            <w:bookmarkEnd w:id="62"/>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2,390,948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2,257,236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bookmarkStart w:id="63" w:name="xdx_98F_eus-gaap--Assets_iTI_pn3n3_uUSD_"/>
            <w:bookmarkStart w:id="64" w:name="xdx_98F_eus-gaap--Assets_iTI_pn3n3_uUSD_"/>
            <w:bookmarkEnd w:id="64"/>
          </w:p>
        </w:tc>
        <w:tc>
          <w:tcPr>
            <w:tcW w:w="7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332,677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 w:name="xdx_407_eus-gaap--LiabilitiesAndStockhol"/>
            <w:bookmarkEnd w:id="65"/>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 w:name="xdx_40E_eus-gaap--LiabilitiesCurrentAbst"/>
            <w:bookmarkEnd w:id="6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 w:name="xdx_409_eus-gaap--AccountsPayableCurrent"/>
            <w:bookmarkEnd w:id="67"/>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notes payable (including accounts and notes payable of the consolidated variable interest entities and their subsidiaries (“VIEs”) without recourse to the Company of RMB</w:t>
            </w:r>
            <w:bookmarkStart w:id="68" w:name="xdx_905_eus-gaap--AccountsPayableCurrent"/>
            <w:bookmarkStart w:id="69" w:name="xdx_908_eus-gaap--AccountsPayableCurrent"/>
            <w:bookmarkEnd w:id="68"/>
            <w:bookmarkEnd w:id="69"/>
            <w:r>
              <w:rPr>
                <w:rFonts w:ascii="Times New Roman;Times;Serif" w:hAnsi="Times New Roman;Times;Serif"/>
                <w:b w:val="false"/>
                <w:i w:val="false"/>
                <w:caps w:val="false"/>
                <w:smallCaps w:val="false"/>
                <w:sz w:val="20"/>
              </w:rPr>
              <w:t>26 as of December 31, 2025 and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517,878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sz w:val="4"/>
                <w:szCs w:val="4"/>
              </w:rPr>
            </w:pPr>
            <w:r>
              <w:rPr>
                <w:sz w:val="4"/>
                <w:szCs w:val="4"/>
              </w:rPr>
            </w:r>
            <w:bookmarkStart w:id="70" w:name="xdx_987_eus-gaap--AccountsPayableCurrent"/>
            <w:bookmarkStart w:id="71" w:name="xdx_987_eus-gaap--AccountsPayableCurrent"/>
            <w:bookmarkEnd w:id="71"/>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 w:name="xdx_40E_eus-gaap--ContractWithCustomerLi"/>
            <w:bookmarkEnd w:id="72"/>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 w:name="xdx_98A_eus-gaap--ContractWithCustomerLi"/>
            <w:bookmarkEnd w:id="73"/>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 w:name="xdx_401_eus-gaap--OtherLiabilitiesCurren"/>
            <w:bookmarkEnd w:id="74"/>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 w:name="xdx_980_eus-gaap--OtherLiabilitiesCurren"/>
            <w:bookmarkEnd w:id="75"/>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 w:name="xdx_402_ecustom--AccruedLiabilitiesAndOt"/>
            <w:bookmarkEnd w:id="7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(including accrued expenses and other liabilities of the consolidated VIEs without recourse to the Company of RMB</w:t>
            </w:r>
            <w:bookmarkStart w:id="77" w:name="xdx_90F_ecustom--AccruedLiabilitiesAndOt"/>
            <w:bookmarkEnd w:id="77"/>
            <w:r>
              <w:rPr>
                <w:rFonts w:ascii="Times New Roman;Times;Serif" w:hAnsi="Times New Roman;Times;Serif"/>
                <w:b w:val="false"/>
                <w:i w:val="false"/>
                <w:caps w:val="false"/>
                <w:smallCaps w:val="false"/>
                <w:sz w:val="20"/>
              </w:rPr>
              <w:t>5,853 and RMB1,</w:t>
            </w:r>
            <w:bookmarkStart w:id="78" w:name="xdx_908_ecustom--AccruedLiabilitiesAndOt"/>
            <w:bookmarkEnd w:id="78"/>
            <w:r>
              <w:rPr>
                <w:rFonts w:ascii="Times New Roman;Times;Serif" w:hAnsi="Times New Roman;Times;Serif"/>
                <w:b w:val="false"/>
                <w:i w:val="false"/>
                <w:caps w:val="false"/>
                <w:smallCaps w:val="false"/>
                <w:sz w:val="20"/>
              </w:rPr>
              <w:t>203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 w:name="xdx_98E_ecustom--AccruedLiabilitiesAndOt"/>
            <w:bookmarkEnd w:id="79"/>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 w:name="xdx_405_eus-gaap--ShortTermBorrowings_i0"/>
            <w:bookmarkEnd w:id="80"/>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1" w:name="xdx_981_eus-gaap--ShortTermBorrowings_iI"/>
            <w:bookmarkEnd w:id="81"/>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 w:name="xdx_405_eus-gaap--AccruedIncomeTaxesCurr"/>
            <w:bookmarkEnd w:id="82"/>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3" w:name="xdx_987_eus-gaap--AccruedIncomeTaxesCurr"/>
            <w:bookmarkEnd w:id="83"/>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4" w:name="xdx_40F_eus-gaap--OperatingLeaseLiabilit"/>
            <w:bookmarkEnd w:id="84"/>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due within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5" w:name="xdx_988_eus-gaap--OperatingLeaseLiabilit"/>
            <w:bookmarkEnd w:id="85"/>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 w:name="xdx_40D_eus-gaap--LongTermDebtCurrent_i0"/>
            <w:bookmarkEnd w:id="8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7" w:name="xdx_98B_eus-gaap--LongTermDebtCurrent_iI"/>
            <w:bookmarkEnd w:id="87"/>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 w:name="xdx_40B_eus-gaap--LiabilitiesCurrent_i02"/>
            <w:bookmarkEnd w:id="88"/>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753,480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708,406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9" w:name="xdx_983_eus-gaap--LiabilitiesCurrent_iTI"/>
            <w:bookmarkEnd w:id="89"/>
          </w:p>
        </w:tc>
        <w:tc>
          <w:tcPr>
            <w:tcW w:w="7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104,408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 w:name="xdx_403_eus-gaap--LiabilitiesNoncurrentA"/>
            <w:bookmarkEnd w:id="90"/>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1" w:name="xdx_407_eus-gaap--AccountsPayableAndAccr"/>
            <w:bookmarkEnd w:id="91"/>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 w:name="xdx_98F_eus-gaap--AccountsPayableAndAccr"/>
            <w:bookmarkEnd w:id="92"/>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3" w:name="xdx_408_eus-gaap--LongTermDebtNoncurrent"/>
            <w:bookmarkEnd w:id="93"/>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4" w:name="xdx_98A_eus-gaap--LongTermDebtNoncurrent"/>
            <w:bookmarkEnd w:id="94"/>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 w:name="xdx_401_eus-gaap--OperatingLeaseLiabilit"/>
            <w:bookmarkEnd w:id="95"/>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6" w:name="xdx_985_eus-gaap--OperatingLeaseLiabilit"/>
            <w:bookmarkEnd w:id="96"/>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7" w:name="xdx_409_eus-gaap--LiabilitiesNoncurrent_"/>
            <w:bookmarkEnd w:id="97"/>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90,532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8" w:name="xdx_983_eus-gaap--LiabilitiesNoncurrent_"/>
            <w:bookmarkEnd w:id="98"/>
          </w:p>
        </w:tc>
        <w:tc>
          <w:tcPr>
            <w:tcW w:w="7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13,342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 w:name="xdx_407_eus-gaap--Liabilities_i01TI_mtLz"/>
            <w:bookmarkEnd w:id="99"/>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798,938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00" w:name="xdx_985_eus-gaap--Liabilities_iTI_pn3n3_"/>
            <w:bookmarkEnd w:id="100"/>
          </w:p>
        </w:tc>
        <w:tc>
          <w:tcPr>
            <w:tcW w:w="7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117,750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1" w:name="xdx_409_eus-gaap--CommitmentsAndContinge"/>
            <w:bookmarkEnd w:id="101"/>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2" w:name="xdx_98F_eus-gaap--CommitmentsAndContinge"/>
            <w:bookmarkEnd w:id="102"/>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3" w:name="xdx_402_eus-gaap--StockholdersEquityIncl"/>
            <w:bookmarkEnd w:id="103"/>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4" w:name="xdx_406_eus-gaap--CommonStockValue_i02I_"/>
            <w:bookmarkEnd w:id="104"/>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(US$</w:t>
            </w:r>
            <w:bookmarkStart w:id="105" w:name="xdx_90C_eus-gaap--CommonStockParOrStated"/>
            <w:bookmarkStart w:id="106" w:name="xdx_90A_eus-gaap--CommonStockParOrStated"/>
            <w:bookmarkEnd w:id="105"/>
            <w:bookmarkEnd w:id="106"/>
            <w:r>
              <w:rPr>
                <w:rFonts w:ascii="Times New Roman;Times;Serif" w:hAnsi="Times New Roman;Times;Serif"/>
                <w:b w:val="false"/>
                <w:i w:val="false"/>
                <w:caps w:val="false"/>
                <w:smallCaps w:val="false"/>
                <w:sz w:val="20"/>
              </w:rPr>
              <w:t xml:space="preserve">0.00001 par value; </w:t>
            </w:r>
            <w:bookmarkStart w:id="107" w:name="xdx_90C_eus-gaap--CommonStockSharesAutho"/>
            <w:bookmarkStart w:id="108" w:name="xdx_90E_eus-gaap--CommonStockSharesAutho"/>
            <w:bookmarkEnd w:id="107"/>
            <w:bookmarkEnd w:id="108"/>
            <w:r>
              <w:rPr>
                <w:rFonts w:ascii="Times New Roman;Times;Serif" w:hAnsi="Times New Roman;Times;Serif"/>
                <w:b w:val="false"/>
                <w:i w:val="false"/>
                <w:caps w:val="false"/>
                <w:smallCaps w:val="false"/>
                <w:sz w:val="20"/>
              </w:rPr>
              <w:t xml:space="preserve">4,800,000,000 shares authorized; </w:t>
            </w:r>
            <w:bookmarkStart w:id="109" w:name="xdx_904_eus-gaap--CommonStockSharesOutst"/>
            <w:bookmarkStart w:id="110" w:name="xdx_906_eus-gaap--CommonStockSharesIssue"/>
            <w:bookmarkEnd w:id="109"/>
            <w:bookmarkEnd w:id="110"/>
            <w:r>
              <w:rPr>
                <w:rFonts w:ascii="Times New Roman;Times;Serif" w:hAnsi="Times New Roman;Times;Serif"/>
                <w:b w:val="false"/>
                <w:i w:val="false"/>
                <w:caps w:val="false"/>
                <w:smallCaps w:val="false"/>
                <w:sz w:val="20"/>
              </w:rPr>
              <w:t xml:space="preserve">99,200,641 and </w:t>
            </w:r>
            <w:bookmarkStart w:id="111" w:name="xdx_90F_eus-gaap--CommonStockSharesOutst"/>
            <w:bookmarkStart w:id="112" w:name="xdx_90D_eus-gaap--CommonStockSharesIssue"/>
            <w:bookmarkEnd w:id="111"/>
            <w:bookmarkEnd w:id="112"/>
            <w:r>
              <w:rPr>
                <w:rFonts w:ascii="Times New Roman;Times;Serif" w:hAnsi="Times New Roman;Times;Serif"/>
                <w:b w:val="false"/>
                <w:i w:val="false"/>
                <w:caps w:val="false"/>
                <w:smallCaps w:val="false"/>
                <w:sz w:val="20"/>
              </w:rPr>
              <w:t>95,171,125 shares issued and outstanding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3" w:name="xdx_98E_eus-gaap--CommonStockValue_iI_pn"/>
            <w:bookmarkEnd w:id="113"/>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 w:name="xdx_408_eus-gaap--CommonStockValue_i02I_"/>
            <w:bookmarkEnd w:id="114"/>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(US$</w:t>
            </w:r>
            <w:bookmarkStart w:id="115" w:name="xdx_905_eus-gaap--CommonStockParOrStated"/>
            <w:bookmarkStart w:id="116" w:name="xdx_908_eus-gaap--CommonStockParOrStated"/>
            <w:bookmarkEnd w:id="115"/>
            <w:bookmarkEnd w:id="116"/>
            <w:r>
              <w:rPr>
                <w:rFonts w:ascii="Times New Roman;Times;Serif" w:hAnsi="Times New Roman;Times;Serif"/>
                <w:b w:val="false"/>
                <w:i w:val="false"/>
                <w:caps w:val="false"/>
                <w:smallCaps w:val="false"/>
                <w:sz w:val="20"/>
              </w:rPr>
              <w:t xml:space="preserve">0.00001 par value; </w:t>
            </w:r>
            <w:bookmarkStart w:id="117" w:name="xdx_907_eus-gaap--CommonStockSharesAutho"/>
            <w:bookmarkStart w:id="118" w:name="xdx_908_eus-gaap--CommonStockSharesAutho"/>
            <w:bookmarkEnd w:id="117"/>
            <w:bookmarkEnd w:id="118"/>
            <w:r>
              <w:rPr>
                <w:rFonts w:ascii="Times New Roman;Times;Serif" w:hAnsi="Times New Roman;Times;Serif"/>
                <w:b w:val="false"/>
                <w:i w:val="false"/>
                <w:caps w:val="false"/>
                <w:smallCaps w:val="false"/>
                <w:sz w:val="20"/>
              </w:rPr>
              <w:t xml:space="preserve">150,000,000 shares authorized; </w:t>
            </w:r>
            <w:bookmarkStart w:id="119" w:name="xdx_908_eus-gaap--CommonStockSharesOutst"/>
            <w:bookmarkStart w:id="120" w:name="xdx_902_eus-gaap--CommonStockSharesIssue"/>
            <w:bookmarkEnd w:id="119"/>
            <w:bookmarkEnd w:id="120"/>
            <w:r>
              <w:rPr>
                <w:rFonts w:ascii="Times New Roman;Times;Serif" w:hAnsi="Times New Roman;Times;Serif"/>
                <w:b w:val="false"/>
                <w:i w:val="false"/>
                <w:caps w:val="false"/>
                <w:smallCaps w:val="false"/>
                <w:sz w:val="20"/>
              </w:rPr>
              <w:t xml:space="preserve">102,764,548 and </w:t>
            </w:r>
            <w:bookmarkStart w:id="121" w:name="xdx_90A_eus-gaap--CommonStockSharesOutst"/>
            <w:bookmarkStart w:id="122" w:name="xdx_90C_eus-gaap--CommonStockSharesIssue"/>
            <w:bookmarkEnd w:id="121"/>
            <w:bookmarkEnd w:id="122"/>
            <w:r>
              <w:rPr>
                <w:rFonts w:ascii="Times New Roman;Times;Serif" w:hAnsi="Times New Roman;Times;Serif"/>
                <w:b w:val="false"/>
                <w:i w:val="false"/>
                <w:caps w:val="false"/>
                <w:smallCaps w:val="false"/>
                <w:sz w:val="20"/>
              </w:rPr>
              <w:t>102,674,548 shares issued and outstanding as of December 31, 2025 and June 30, 2026,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3" w:name="xdx_985_eus-gaap--CommonStockValue_iI_pn"/>
            <w:bookmarkEnd w:id="123"/>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4" w:name="xdx_404_eus-gaap--CommonStockValue_i02I_"/>
            <w:bookmarkEnd w:id="124"/>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5" w:name="xdx_984_eus-gaap--CommonStockValue_iI_pn"/>
            <w:bookmarkEnd w:id="125"/>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6" w:name="xdx_40B_eus-gaap--TreasuryStockValue_i02"/>
            <w:bookmarkEnd w:id="126"/>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7" w:name="xdx_983_eus-gaap--TreasuryStockValue_iNI"/>
            <w:bookmarkEnd w:id="127"/>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8" w:name="xdx_404_eus-gaap--AdditionalPaidInCapita"/>
            <w:bookmarkEnd w:id="128"/>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 w:name="xdx_983_eus-gaap--AdditionalPaidInCapita"/>
            <w:bookmarkEnd w:id="129"/>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209,449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0" w:name="xdx_405_eus-gaap--RetainedEarningsAccumu"/>
            <w:bookmarkEnd w:id="130"/>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1" w:name="xdx_981_eus-gaap--RetainedEarningsAccumu"/>
            <w:bookmarkEnd w:id="131"/>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2" w:name="xdx_401_eus-gaap--AccumulatedOtherCompre"/>
            <w:bookmarkEnd w:id="132"/>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3" w:name="xdx_983_eus-gaap--AccumulatedOtherCompre"/>
            <w:bookmarkEnd w:id="133"/>
          </w:p>
        </w:tc>
        <w:tc>
          <w:tcPr>
            <w:tcW w:w="7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4" w:name="xdx_40A_eus-gaap--StockholdersEquity_i02"/>
            <w:bookmarkEnd w:id="134"/>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attributable to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1,526,663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1,453,178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5" w:name="xdx_983_eus-gaap--StockholdersEquity_iTI"/>
            <w:bookmarkEnd w:id="135"/>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214,172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6" w:name="xdx_40B_eus-gaap--MinorityInterest_i02I_"/>
            <w:bookmarkEnd w:id="136"/>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7" w:name="xdx_981_eus-gaap--MinorityInterest_iI_pn"/>
            <w:bookmarkEnd w:id="137"/>
          </w:p>
        </w:tc>
        <w:tc>
          <w:tcPr>
            <w:tcW w:w="7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8" w:name="xdx_402_eus-gaap--StockholdersEquityIncl"/>
            <w:bookmarkEnd w:id="138"/>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1,532,264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1,458,298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9" w:name="xdx_984_eus-gaap--StockholdersEquityIncl"/>
            <w:bookmarkEnd w:id="139"/>
          </w:p>
        </w:tc>
        <w:tc>
          <w:tcPr>
            <w:tcW w:w="7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214,927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0" w:name="xdx_406_eus-gaap--LiabilitiesAndStockhol"/>
            <w:bookmarkEnd w:id="140"/>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2,390,948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2,257,236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41" w:name="xdx_98B_eus-gaap--LiabilitiesAndStockhol"/>
            <w:bookmarkStart w:id="142" w:name="xdx_98B_eus-gaap--LiabilitiesAndStockhol"/>
            <w:bookmarkEnd w:id="142"/>
          </w:p>
        </w:tc>
        <w:tc>
          <w:tcPr>
            <w:tcW w:w="7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332,677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3" w:name="ex99-1_002"/>
      <w:bookmarkEnd w:id="143"/>
      <w:r>
        <w:rPr>
          <w:rFonts w:ascii="Times New Roman;Times;Serif" w:hAnsi="Times New Roman;Times;Serif"/>
          <w:b/>
          <w:i w:val="false"/>
          <w:caps w:val="false"/>
          <w:smallCaps w:val="false"/>
          <w:sz w:val="20"/>
        </w:rPr>
        <w:t>UNAUDITED CONDENSED CONSOLIDATED STATEMENTS OF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4" w:name="xdx_30B_113_pn3n3_zagnDTHRhz0h"/>
      <w:bookmarkStart w:id="145" w:name="xdx_30B_113_pn3n3_zagnDTHRhz0h"/>
      <w:bookmarkEnd w:id="145"/>
    </w:p>
    <w:tbl>
      <w:tblPr>
        <w:tblW w:w="10205" w:type="dxa"/>
        <w:jc w:val="left"/>
        <w:tblInd w:w="0" w:type="dxa"/>
        <w:tblLayout w:type="fixed"/>
        <w:tblCellMar>
          <w:top w:w="0" w:type="dxa"/>
          <w:left w:w="0" w:type="dxa"/>
          <w:bottom w:w="0" w:type="dxa"/>
          <w:right w:w="0" w:type="dxa"/>
        </w:tblCellMar>
      </w:tblPr>
      <w:tblGrid>
        <w:gridCol w:w="6425"/>
        <w:gridCol w:w="60"/>
        <w:gridCol w:w="60"/>
        <w:gridCol w:w="1055"/>
        <w:gridCol w:w="80"/>
        <w:gridCol w:w="60"/>
        <w:gridCol w:w="60"/>
        <w:gridCol w:w="1055"/>
        <w:gridCol w:w="80"/>
        <w:gridCol w:w="60"/>
        <w:gridCol w:w="60"/>
        <w:gridCol w:w="1055"/>
        <w:gridCol w:w="95"/>
      </w:tblGrid>
      <w:tr>
        <w:trPr/>
        <w:tc>
          <w:tcPr>
            <w:tcW w:w="64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bookmarkStart w:id="146" w:name="xdx_49E_20250101__20250630_zEi1MWfLlgMl"/>
            <w:bookmarkEnd w:id="146"/>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2025</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bookmarkStart w:id="147" w:name="xdx_49B_20260101__20260630_zMFIxT7XpDr4"/>
            <w:bookmarkEnd w:id="147"/>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2026</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2026</w:t>
            </w:r>
          </w:p>
        </w:tc>
        <w:tc>
          <w:tcPr>
            <w:tcW w:w="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Six Months Ended June 30,</w:t>
            </w:r>
          </w:p>
        </w:tc>
        <w:tc>
          <w:tcPr>
            <w:tcW w:w="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4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2025</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2026</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2026</w:t>
            </w:r>
          </w:p>
        </w:tc>
        <w:tc>
          <w:tcPr>
            <w:tcW w:w="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4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RMB</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RMB</w:t>
            </w:r>
          </w:p>
        </w:tc>
        <w:tc>
          <w:tcPr>
            <w:tcW w:w="8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US$</w:t>
            </w:r>
          </w:p>
        </w:tc>
        <w:tc>
          <w:tcPr>
            <w:tcW w:w="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4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(Note2(e))</w:t>
            </w:r>
          </w:p>
        </w:tc>
        <w:tc>
          <w:tcPr>
            <w:tcW w:w="9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bookmarkStart w:id="148" w:name="xdx_40E_eus-gaap--RevenuesAbstract_iB_z6"/>
            <w:bookmarkEnd w:id="148"/>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9" w:name="xdx_40D_eus-gaap--RevenueFromContractWit"/>
            <w:bookmarkEnd w:id="149"/>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Related parties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1,360,966</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666,138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bookmarkStart w:id="150" w:name="xdx_986_eus-gaap--RevenueFromContractWit"/>
            <w:bookmarkStart w:id="151" w:name="xdx_986_eus-gaap--RevenueFromContractWit"/>
            <w:bookmarkEnd w:id="151"/>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98,177</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52" w:name="xdx_40B_eus-gaap--RevenueFromContractWit"/>
            <w:bookmarkEnd w:id="152"/>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Third parties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116,653</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73,858</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53" w:name="xdx_986_eus-gaap--RevenueFromContractWit"/>
            <w:bookmarkEnd w:id="153"/>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10,885</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54" w:name="xdx_409_eus-gaap--RevenueFromContractWit"/>
            <w:bookmarkEnd w:id="154"/>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net revenues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1,477,619</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739,996</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55" w:name="xdx_98B_eus-gaap--RevenueFromContractWit"/>
            <w:bookmarkEnd w:id="155"/>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109,062</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56" w:name="xdx_400_eus-gaap--CostOfRevenue_i01N_di_"/>
            <w:bookmarkEnd w:id="156"/>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Cost of revenues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(1,086,467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(562,316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57" w:name="xdx_98D_eus-gaap--CostOfRevenue_iN_pn3n3"/>
            <w:bookmarkEnd w:id="157"/>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(82,875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bookmarkStart w:id="158" w:name="xdx_409_eus-gaap--GrossProfit_i01_mtGPza"/>
            <w:bookmarkEnd w:id="158"/>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Gross profit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391,152</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177,680</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59" w:name="xdx_98B_eus-gaap--GrossProfit_pn3n3_uUSD"/>
            <w:bookmarkEnd w:id="159"/>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26,187</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0" w:name="xdx_409_eus-gaap--OperatingExpensesAbstr"/>
            <w:bookmarkEnd w:id="160"/>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1" w:name="xdx_408_eus-gaap--ResearchAndDevelopment"/>
            <w:bookmarkEnd w:id="161"/>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(89,313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(96,059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62" w:name="xdx_98B_eus-gaap--ResearchAndDevelopment"/>
            <w:bookmarkEnd w:id="162"/>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(14,157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bookmarkStart w:id="163" w:name="xdx_404_eus-gaap--SellingAndMarketingExp"/>
            <w:bookmarkEnd w:id="163"/>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(129,034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(109,556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64" w:name="xdx_98C_eus-gaap--SellingAndMarketingExp"/>
            <w:bookmarkEnd w:id="164"/>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bookmarkStart w:id="165" w:name="xdx_406_eus-gaap--GeneralAndAdministrati"/>
            <w:bookmarkEnd w:id="165"/>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(63,029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(41,401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66" w:name="xdx_983_eus-gaap--GeneralAndAdministrati"/>
            <w:bookmarkEnd w:id="166"/>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bookmarkStart w:id="167" w:name="xdx_407_eus-gaap--OperatingExpenses_i02N"/>
            <w:bookmarkEnd w:id="167"/>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operating expenses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(281,376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(247,016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68" w:name="xdx_989_eus-gaap--OperatingExpenses_iNT_"/>
            <w:bookmarkEnd w:id="16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(36,406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9" w:name="xdx_407_eus-gaap--OtherOperatingIncomeEx"/>
            <w:bookmarkEnd w:id="169"/>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income, net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9,071</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18,604</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70" w:name="xdx_988_eus-gaap--OtherOperatingIncomeEx"/>
            <w:bookmarkEnd w:id="170"/>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2,742</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71" w:name="xdx_407_eus-gaap--OperatingIncomeLoss_i0"/>
            <w:bookmarkEnd w:id="171"/>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118,847</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(50,732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72" w:name="xdx_986_eus-gaap--OperatingIncomeLoss_iT"/>
            <w:bookmarkEnd w:id="172"/>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(7,477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r>
      <w:tr>
        <w:trPr/>
        <w:tc>
          <w:tcPr>
            <w:tcW w:w="6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3" w:name="xdx_40B_ecustom--InterestIncomeExpenseAn"/>
            <w:bookmarkEnd w:id="173"/>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Interest and investment income, net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18,687</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14,479</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74" w:name="xdx_98F_ecustom--InterestIncomeExpenseAn"/>
            <w:bookmarkEnd w:id="174"/>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2,134</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75" w:name="xdx_40D_eus-gaap--IncomeLossFromContinui"/>
            <w:bookmarkEnd w:id="175"/>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Income (loss) before income tax expenses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137,534</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(36,253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76" w:name="xdx_984_eus-gaap--IncomeLossFromContinui"/>
            <w:bookmarkEnd w:id="176"/>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(5,343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7" w:name="xdx_405_eus-gaap--IncomeTaxExpenseBenefi"/>
            <w:bookmarkEnd w:id="177"/>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Income tax (expenses) benefit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(17,006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9,486</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78" w:name="xdx_983_eus-gaap--IncomeTaxExpenseBenefi"/>
            <w:bookmarkEnd w:id="178"/>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1,398</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9" w:name="xdx_402_eus-gaap--IncomeLossFromContinui"/>
            <w:bookmarkEnd w:id="179"/>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 (loss) from operations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120,528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(26,767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80" w:name="xdx_982_eus-gaap--IncomeLossFromContinui"/>
            <w:bookmarkEnd w:id="180"/>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(3,945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1" w:name="xdx_404_eus-gaap--ProfitLoss_i02T_mtPLz2"/>
            <w:bookmarkEnd w:id="181"/>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income(loss)</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120,528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(26,767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82" w:name="xdx_985_eus-gaap--ProfitLoss_iT_pn3n3_uU"/>
            <w:bookmarkEnd w:id="182"/>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(3,945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bookmarkStart w:id="183" w:name="xdx_40A_eus-gaap--NetIncomeLossAttributa"/>
            <w:bookmarkEnd w:id="183"/>
          </w:p>
        </w:tc>
      </w:tr>
      <w:tr>
        <w:trPr/>
        <w:tc>
          <w:tcPr>
            <w:tcW w:w="64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Less: Net income (loss) attributable to the non-controlling interest shareholders</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133</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84" w:name="xdx_98C_eus-gaap--NetIncomeLossAttributa"/>
            <w:bookmarkEnd w:id="184"/>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bookmarkStart w:id="185" w:name="xdx_40B_eus-gaap--NetIncomeLossAvailable"/>
            <w:bookmarkEnd w:id="185"/>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 (loss) attributable to ordinary shareholders of the Company</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120,395</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(26,286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86" w:name="xdx_98A_eus-gaap--NetIncomeLossAvailable"/>
            <w:bookmarkEnd w:id="186"/>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(3,874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7" w:name="xdx_40A_eus-gaap--OtherComprehensiveInco"/>
            <w:bookmarkEnd w:id="187"/>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comprehensive loss,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401_eus-gaap--OtherComprehensiveInco"/>
            <w:bookmarkEnd w:id="188"/>
          </w:p>
        </w:tc>
      </w:tr>
      <w:tr>
        <w:trPr/>
        <w:tc>
          <w:tcPr>
            <w:tcW w:w="642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(14,124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89" w:name="xdx_988_eus-gaap--OtherComprehensiveInco"/>
            <w:bookmarkEnd w:id="18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bookmarkStart w:id="190" w:name="xdx_40C_eus-gaap--ComprehensiveIncomeNet"/>
            <w:bookmarkEnd w:id="190"/>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comprehensive income (loss) attributable to ordinary shareholders of the Company</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116,520</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(40,410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91" w:name="xdx_984_eus-gaap--ComprehensiveIncomeNet"/>
            <w:bookmarkStart w:id="192" w:name="xdx_984_eus-gaap--ComprehensiveIncomeNet"/>
            <w:bookmarkEnd w:id="192"/>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(5,956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3" w:name="xdx_405_eus-gaap--EarningsPerShareAbstra"/>
            <w:bookmarkEnd w:id="193"/>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 (loss) per share attributable to ordinary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4" w:name="xdx_403_eus-gaap--EarningsPerShareBasic_"/>
            <w:bookmarkEnd w:id="194"/>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-Basic</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0.59</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95" w:name="xdx_98E_eus-gaap--EarningsPerShareBasic_"/>
            <w:bookmarkEnd w:id="195"/>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bookmarkStart w:id="196" w:name="xdx_406_eus-gaap--EarningsPerShareDilute"/>
            <w:bookmarkEnd w:id="196"/>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-Diluted</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0.58</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97" w:name="xdx_989_eus-gaap--EarningsPerShareDilute"/>
            <w:bookmarkEnd w:id="197"/>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6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8" w:name="xdx_403_eus-gaap--WeightedAverageNumberO"/>
            <w:bookmarkEnd w:id="198"/>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Weighted average number of ordinary shares used in calculating net income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9" w:name="xdx_40D_eus-gaap--WeightedAverageNumberO"/>
            <w:bookmarkEnd w:id="199"/>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-Basic</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203,856,436</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201,065,185</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200" w:name="xdx_980_eus-gaap--WeightedAverageNumberO"/>
            <w:bookmarkEnd w:id="200"/>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201,065,185</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201" w:name="xdx_40D_eus-gaap--WeightedAverageNumberO"/>
            <w:bookmarkEnd w:id="201"/>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-Diluted</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205,865,093</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201,065,185</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202" w:name="xdx_982_eus-gaap--WeightedAverageNumberO"/>
            <w:bookmarkEnd w:id="202"/>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201,065,185</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3" w:name="ex99-1_003"/>
      <w:bookmarkEnd w:id="203"/>
      <w:r>
        <w:rPr>
          <w:rFonts w:ascii="Times New Roman;Times;Serif" w:hAnsi="Times New Roman;Times;Serif"/>
          <w:b/>
          <w:i w:val="false"/>
          <w:caps w:val="false"/>
          <w:smallCaps w:val="false"/>
          <w:sz w:val="20"/>
        </w:rPr>
        <w:t>UNAUDITED CONDENSED CONSOLIDATED STATEMENTS OF CHANGES IN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204" w:name="xdx_30B_114_pn3n3_zHmzIpYmnIra"/>
      <w:bookmarkStart w:id="205" w:name="xdx_30B_114_pn3n3_zHmzIpYmnIra"/>
      <w:bookmarkEnd w:id="205"/>
    </w:p>
    <w:tbl>
      <w:tblPr>
        <w:tblW w:w="14765" w:type="dxa"/>
        <w:jc w:val="left"/>
        <w:tblInd w:w="0" w:type="dxa"/>
        <w:tblLayout w:type="fixed"/>
        <w:tblCellMar>
          <w:top w:w="0" w:type="dxa"/>
          <w:left w:w="0" w:type="dxa"/>
          <w:bottom w:w="0" w:type="dxa"/>
          <w:right w:w="0" w:type="dxa"/>
        </w:tblCellMar>
      </w:tblPr>
      <w:tblGrid>
        <w:gridCol w:w="1325"/>
        <w:gridCol w:w="60"/>
        <w:gridCol w:w="60"/>
        <w:gridCol w:w="1055"/>
        <w:gridCol w:w="80"/>
        <w:gridCol w:w="60"/>
        <w:gridCol w:w="225"/>
        <w:gridCol w:w="470"/>
        <w:gridCol w:w="60"/>
        <w:gridCol w:w="60"/>
        <w:gridCol w:w="60"/>
        <w:gridCol w:w="1055"/>
        <w:gridCol w:w="80"/>
        <w:gridCol w:w="60"/>
        <w:gridCol w:w="225"/>
        <w:gridCol w:w="470"/>
        <w:gridCol w:w="60"/>
        <w:gridCol w:w="60"/>
        <w:gridCol w:w="60"/>
        <w:gridCol w:w="860"/>
        <w:gridCol w:w="80"/>
        <w:gridCol w:w="60"/>
        <w:gridCol w:w="60"/>
        <w:gridCol w:w="950"/>
        <w:gridCol w:w="60"/>
        <w:gridCol w:w="60"/>
        <w:gridCol w:w="60"/>
        <w:gridCol w:w="755"/>
        <w:gridCol w:w="80"/>
        <w:gridCol w:w="60"/>
        <w:gridCol w:w="63"/>
        <w:gridCol w:w="737"/>
        <w:gridCol w:w="80"/>
        <w:gridCol w:w="60"/>
        <w:gridCol w:w="113"/>
        <w:gridCol w:w="1227"/>
        <w:gridCol w:w="80"/>
        <w:gridCol w:w="60"/>
        <w:gridCol w:w="78"/>
        <w:gridCol w:w="1067"/>
        <w:gridCol w:w="80"/>
        <w:gridCol w:w="60"/>
        <w:gridCol w:w="110"/>
        <w:gridCol w:w="900"/>
        <w:gridCol w:w="80"/>
        <w:gridCol w:w="60"/>
        <w:gridCol w:w="75"/>
        <w:gridCol w:w="1070"/>
        <w:gridCol w:w="95"/>
      </w:tblGrid>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06" w:name="xdx_4B0_us-gaap--StatementEquityComponen"/>
            <w:bookmarkEnd w:id="206"/>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07" w:name="xdx_4B2_us-gaap--StatementEquityComponen"/>
            <w:bookmarkEnd w:id="207"/>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08" w:name="xdx_4BE_us-gaap--StatementEquityComponen"/>
            <w:bookmarkEnd w:id="208"/>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09" w:name="xdx_4BC_us-gaap--StatementEquityComponen"/>
            <w:bookmarkEnd w:id="209"/>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0" w:name="xdx_4B0_us-gaap--StatementEquityComponen"/>
            <w:bookmarkEnd w:id="210"/>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1" w:name="xdx_4B0_us-gaap--StatementEquityComponen"/>
            <w:bookmarkEnd w:id="211"/>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2" w:name="xdx_4B1_us-gaap--StatementEquityComponen"/>
            <w:bookmarkEnd w:id="212"/>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3" w:name="xdx_4B1_us-gaap--StatementEquityComponen"/>
            <w:bookmarkEnd w:id="213"/>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4" w:name="xdx_4B2_zyOl4ZLWJLTg"/>
            <w:bookmarkEnd w:id="214"/>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Attributable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stock</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of the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center"/>
              <w:rPr>
                <w:caps w:val="false"/>
                <w:smallCaps w:val="false"/>
              </w:rPr>
            </w:pPr>
            <w:r>
              <w:rPr>
                <w:caps w:val="false"/>
                <w:smallCaps w:val="false"/>
              </w:rPr>
              <w:t> </w:t>
            </w:r>
            <w:bookmarkStart w:id="215" w:name="xdx_430_c20250101__20250630_eus-gaap--St"/>
            <w:bookmarkEnd w:id="215"/>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6" w:name="xdx_980_eus-gaap--SharesOutstanding_iS_p"/>
            <w:bookmarkEnd w:id="216"/>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101,059,544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7" w:name="xdx_98E_eus-gaap--SharesOutstanding_iS_p"/>
            <w:bookmarkEnd w:id="217"/>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102,764,550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 w:name="xdx_983_eus-gaap--TreasuryStockCommonSha"/>
            <w:bookmarkEnd w:id="218"/>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12,626,052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1,444,441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1,449,757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9" w:name="xdx_40B_eus-gaap--ProfitLoss_zihC51xpfOD"/>
            <w:bookmarkEnd w:id="219"/>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 and non-controlling interest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 w:name="xdx_40E_ecustom--PurchaseOfEquityInteres"/>
            <w:bookmarkEnd w:id="220"/>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equity interests from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1" w:name="xdx_408_eus-gaap--AdjustmentsToAdditiona"/>
            <w:bookmarkEnd w:id="221"/>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related to 2015 and 2018 Share Incentive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 w:name="xdx_40B_eus-gaap--StockIssuedDuringPerio"/>
            <w:bookmarkEnd w:id="222"/>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ordinary shares for exercised share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3" w:name="xdx_987_eus-gaap--StockIssuedDuringPerio"/>
            <w:bookmarkEnd w:id="223"/>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 w:name="xdx_406_eus-gaap--OtherComprehensiveInco"/>
            <w:bookmarkEnd w:id="224"/>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5" w:name="xdx_43B_c20250101__20250630_eus-gaap--St"/>
            <w:bookmarkEnd w:id="225"/>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6" w:name="xdx_981_eus-gaap--SharesOutstanding_iE_p"/>
            <w:bookmarkEnd w:id="22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101,104,970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7" w:name="xdx_985_eus-gaap--SharesOutstanding_iE_p"/>
            <w:bookmarkEnd w:id="227"/>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102,764,550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1,380,954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8" w:name="xdx_988_eus-gaap--TreasuryStockCommonSha"/>
            <w:bookmarkEnd w:id="228"/>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12,626,052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(85,426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266,612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1,560,556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1,566,005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9" w:name="xdx_436_c20260101__20260630_eus-gaap--St"/>
            <w:bookmarkEnd w:id="229"/>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0" w:name="xdx_98D_eus-gaap--SharesOutstanding_iS_p"/>
            <w:bookmarkEnd w:id="230"/>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99,200,641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1" w:name="xdx_98B_eus-gaap--SharesOutstanding_iS_p"/>
            <w:bookmarkEnd w:id="231"/>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102,764,548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2" w:name="xdx_98A_eus-gaap--TreasuryStockCommonSha"/>
            <w:bookmarkEnd w:id="232"/>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15,703,314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1,532,264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B_eus-gaap--ProfitLoss_zxcEewjLNPY"/>
            <w:bookmarkEnd w:id="233"/>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Company and non-controlling interest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4" w:name="xdx_408_eus-gaap--AdjustmentsToAdditiona"/>
            <w:bookmarkEnd w:id="234"/>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related to 2015 and 2018 Share Incentive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 w:name="xdx_406_eus-gaap--OtherComprehensiveInco"/>
            <w:bookmarkEnd w:id="235"/>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6" w:name="xdx_40B_eus-gaap--StockIssuedDuringPerio"/>
            <w:bookmarkEnd w:id="236"/>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ordinary shares for exercised share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7" w:name="xdx_98C_eus-gaap--StockIssuedDuringPerio"/>
            <w:bookmarkEnd w:id="237"/>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8" w:name="xdx_408_eus-gaap--StockRepurchasedDuring"/>
            <w:bookmarkEnd w:id="238"/>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9" w:name="xdx_984_eus-gaap--StockRepurchasedDuring"/>
            <w:bookmarkEnd w:id="239"/>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(4,202,514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0" w:name="xdx_98B_eus-gaap--StockRepurchasedDuring"/>
            <w:bookmarkEnd w:id="240"/>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1" w:name="xdx_401_ecustom--StockIssuedDuringThePer"/>
            <w:bookmarkEnd w:id="241"/>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to statutory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2" w:name="xdx_400_eus-gaap--Dividends_iN_di_zCZwCs"/>
            <w:bookmarkEnd w:id="242"/>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declared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3" w:name="xdx_402_eus-gaap--StockIssuedDuringPerio"/>
            <w:bookmarkEnd w:id="243"/>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converted to Class A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4" w:name="xdx_989_eus-gaap--StockIssuedDuringPerio"/>
            <w:bookmarkEnd w:id="244"/>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5" w:name="xdx_984_eus-gaap--StockIssuedDuringPerio"/>
            <w:bookmarkEnd w:id="24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6" w:name="xdx_43D_c20260101__20260630_eus-gaap--St"/>
            <w:bookmarkEnd w:id="246"/>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7" w:name="xdx_98A_eus-gaap--SharesOutstanding_iE_p"/>
            <w:bookmarkEnd w:id="247"/>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95,171,125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8" w:name="xdx_986_eus-gaap--SharesOutstanding_iE_p"/>
            <w:bookmarkEnd w:id="24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102,674,548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1,421,133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9" w:name="xdx_98E_eus-gaap--TreasuryStockCommonSha"/>
            <w:bookmarkEnd w:id="249"/>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19,905,828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(112,527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(25,204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1,453,178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1,458,298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color w:val="0000EE"/>
        </w:rPr>
      </w:pPr>
      <w:r>
        <w:rPr>
          <w:caps w:val="false"/>
          <w:smallCaps w:val="false"/>
          <w:color w:val="0000E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0" w:name="ex99-1_004"/>
      <w:bookmarkEnd w:id="250"/>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1" w:name="xdx_30A_112_pn3n3_zRqii4hrdTui"/>
      <w:bookmarkStart w:id="252" w:name="xdx_30A_112_pn3n3_zRqii4hrdTui"/>
      <w:bookmarkEnd w:id="252"/>
    </w:p>
    <w:tbl>
      <w:tblPr>
        <w:tblW w:w="9229" w:type="dxa"/>
        <w:jc w:val="left"/>
        <w:tblInd w:w="0" w:type="dxa"/>
        <w:tblLayout w:type="fixed"/>
        <w:tblCellMar>
          <w:top w:w="0" w:type="dxa"/>
          <w:left w:w="0" w:type="dxa"/>
          <w:bottom w:w="0" w:type="dxa"/>
          <w:right w:w="0" w:type="dxa"/>
        </w:tblCellMar>
      </w:tblPr>
      <w:tblGrid>
        <w:gridCol w:w="6185"/>
        <w:gridCol w:w="60"/>
        <w:gridCol w:w="60"/>
        <w:gridCol w:w="845"/>
        <w:gridCol w:w="80"/>
        <w:gridCol w:w="60"/>
        <w:gridCol w:w="60"/>
        <w:gridCol w:w="755"/>
        <w:gridCol w:w="80"/>
        <w:gridCol w:w="60"/>
        <w:gridCol w:w="65"/>
        <w:gridCol w:w="824"/>
        <w:gridCol w:w="95"/>
      </w:tblGrid>
      <w:tr>
        <w:trPr/>
        <w:tc>
          <w:tcPr>
            <w:tcW w:w="6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53" w:name="xdx_495_20250101__20250630_zqcpoAthPz3b"/>
            <w:bookmarkEnd w:id="253"/>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54" w:name="xdx_493_20260101__20260630_zbZ7gAYWsHIl"/>
            <w:bookmarkEnd w:id="254"/>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255" w:name="xdx_406_eus-gaap--NetCashProvidedByUsedI"/>
            <w:bookmarkEnd w:id="255"/>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(47,137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6" w:name="xdx_986_eus-gaap--NetCashProvidedByUsedI"/>
            <w:bookmarkEnd w:id="256"/>
          </w:p>
        </w:tc>
        <w:tc>
          <w:tcPr>
            <w:tcW w:w="8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(6,948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7" w:name="xdx_40D_eus-gaap--NetCashProvidedByUsedI"/>
            <w:bookmarkEnd w:id="257"/>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8" w:name="xdx_40F_eus-gaap--PaymentsToAcquirePrope"/>
            <w:bookmarkEnd w:id="258"/>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9" w:name="xdx_988_eus-gaap--PaymentsToAcquirePrope"/>
            <w:bookmarkEnd w:id="259"/>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0" w:name="xdx_40C_eus-gaap--PaymentsForTenantImpro"/>
            <w:bookmarkEnd w:id="260"/>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lease hold improvement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1" w:name="xdx_982_eus-gaap--PaymentsForTenantImpro"/>
            <w:bookmarkEnd w:id="261"/>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2" w:name="xdx_409_eus-gaap--PaymentsToAcquireIntan"/>
            <w:bookmarkEnd w:id="262"/>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3" w:name="xdx_98E_eus-gaap--PaymentsToAcquireIntan"/>
            <w:bookmarkEnd w:id="263"/>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4" w:name="xdx_40A_eus-gaap--PaymentsToAcquireShort"/>
            <w:bookmarkEnd w:id="264"/>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5" w:name="xdx_98F_eus-gaap--PaymentsToAcquireShort"/>
            <w:bookmarkEnd w:id="265"/>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 w:name="xdx_40C_eus-gaap--ProceedsFromSaleMaturi"/>
            <w:bookmarkEnd w:id="266"/>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of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 w:name="xdx_985_eus-gaap--ProceedsFromSaleMaturi"/>
            <w:bookmarkEnd w:id="267"/>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8" w:name="xdx_405_eus-gaap--ProceedsFromSaleOfProp"/>
            <w:bookmarkEnd w:id="268"/>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9" w:name="xdx_98E_eus-gaap--ProceedsFromSaleOfProp"/>
            <w:bookmarkEnd w:id="269"/>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0" w:name="xdx_402_ecustom--PlacementOfLongtermInve"/>
            <w:bookmarkEnd w:id="270"/>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of 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1" w:name="xdx_981_ecustom--PlacementOfLongtermInve"/>
            <w:bookmarkEnd w:id="271"/>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2" w:name="xdx_40C_ecustom--PlacementOfLongtermDepo"/>
            <w:bookmarkEnd w:id="272"/>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of long-term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3" w:name="xdx_983_ecustom--PlacementOfLongtermDepo"/>
            <w:bookmarkEnd w:id="273"/>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4" w:name="xdx_407_ecustom--MaturitiesOfLongtermDep"/>
            <w:bookmarkEnd w:id="274"/>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long-term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5" w:name="xdx_983_ecustom--MaturitiesOfLongtermDep"/>
            <w:bookmarkEnd w:id="275"/>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6" w:name="xdx_407_ecustom--PlacementOfShorttermDep"/>
            <w:bookmarkEnd w:id="276"/>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of short-term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(598,688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(779,848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7" w:name="xdx_98F_ecustom--PlacementOfShorttermDep"/>
            <w:bookmarkEnd w:id="277"/>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(114,935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8" w:name="xdx_402_ecustom--MaturitiesOfShorttermDe"/>
            <w:bookmarkEnd w:id="278"/>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short-term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751,361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9" w:name="xdx_988_ecustom--MaturitiesOfShorttermDe"/>
            <w:bookmarkEnd w:id="279"/>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0" w:name="xdx_405_eus-gaap--NetCashProvidedByUsedI"/>
            <w:bookmarkEnd w:id="280"/>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(310,599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(112,917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81" w:name="xdx_98D_eus-gaap--NetCashProvidedByUsedI"/>
            <w:bookmarkEnd w:id="281"/>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(16,641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2" w:name="xdx_40B_eus-gaap--NetCashProvidedByUsedI"/>
            <w:bookmarkEnd w:id="282"/>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3" w:name="xdx_40B_eus-gaap--ProceedsFromStockOptio"/>
            <w:bookmarkEnd w:id="283"/>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vested share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4" w:name="xdx_98C_eus-gaap--ProceedsFromStockOptio"/>
            <w:bookmarkEnd w:id="284"/>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5" w:name="xdx_406_eus-gaap--ProceedsFromIssuanceOf"/>
            <w:bookmarkEnd w:id="285"/>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borrowing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6" w:name="xdx_988_eus-gaap--ProceedsFromIssuanceOf"/>
            <w:bookmarkEnd w:id="286"/>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7" w:name="xdx_404_eus-gaap--RepaymentsOfDebt_i01N_"/>
            <w:bookmarkEnd w:id="287"/>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borrowing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8" w:name="xdx_984_eus-gaap--RepaymentsOfDebt_i01N_"/>
            <w:bookmarkEnd w:id="288"/>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89" w:name="xdx_407_ecustom--DividendPaid_i01N_di_ms"/>
            <w:bookmarkEnd w:id="289"/>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0" w:name="xdx_983_ecustom--DividendPaid_i01N_di_uU"/>
            <w:bookmarkEnd w:id="290"/>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91" w:name="xdx_40E_ecustom--PurchaseOfNoncontrollin"/>
            <w:bookmarkEnd w:id="291"/>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2" w:name="xdx_988_ecustom--PurchaseOfNoncontrollin"/>
            <w:bookmarkEnd w:id="292"/>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3" w:name="xdx_407_eus-gaap--PaymentsForRepurchaseO"/>
            <w:bookmarkEnd w:id="293"/>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94" w:name="xdx_982_eus-gaap--PaymentsForRepurchaseO"/>
            <w:bookmarkEnd w:id="294"/>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95" w:name="xdx_407_eus-gaap--NetCashProvidedByUsedI"/>
            <w:bookmarkEnd w:id="295"/>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(31,264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(42,287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96" w:name="xdx_980_eus-gaap--NetCashProvidedByUsedI"/>
            <w:bookmarkEnd w:id="296"/>
          </w:p>
        </w:tc>
        <w:tc>
          <w:tcPr>
            <w:tcW w:w="8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7" w:name="xdx_409_eus-gaap--EffectOfExchangeRateOn"/>
            <w:bookmarkEnd w:id="297"/>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8" w:name="xdx_988_eus-gaap--EffectOfExchangeRateOn"/>
            <w:bookmarkEnd w:id="298"/>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9" w:name="xdx_404_eus-gaap--CashCashEquivalentsRes"/>
            <w:bookmarkEnd w:id="299"/>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and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0" w:name="xdx_980_eus-gaap--CashCashEquivalentsRes"/>
            <w:bookmarkEnd w:id="300"/>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1" w:name="xdx_408_eus-gaap--CashCashEquivalentsRes"/>
            <w:bookmarkEnd w:id="301"/>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the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02" w:name="xdx_987_eus-gaap--CashCashEquivalentsRes"/>
            <w:bookmarkEnd w:id="302"/>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3" w:name="xdx_40A_eus-gaap--CashCashEquivalentsRes"/>
            <w:bookmarkEnd w:id="303"/>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and restricted cash at the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1,049,757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304" w:name="xdx_985_eus-gaap--CashCashEquivalentsRes"/>
            <w:bookmarkStart w:id="305" w:name="xdx_985_eus-gaap--CashCashEquivalentsRes"/>
            <w:bookmarkEnd w:id="305"/>
          </w:p>
        </w:tc>
        <w:tc>
          <w:tcPr>
            <w:tcW w:w="8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6" w:name="xdx_40C_eus-gaap--CashAndCashEquivalents"/>
            <w:bookmarkEnd w:id="306"/>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operations at the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603,790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7" w:name="xdx_985_eus-gaap--CashAndCashEquivalents"/>
            <w:bookmarkEnd w:id="307"/>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8" w:name="xdx_404_eus-gaap--RestrictedCashCurrent_"/>
            <w:bookmarkEnd w:id="308"/>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of operations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9" w:name="xdx_985_eus-gaap--RestrictedCashCurrent_"/>
            <w:bookmarkEnd w:id="309"/>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0" w:name="xdx_401_eus-gaap--SupplementalCashFlowIn"/>
            <w:bookmarkEnd w:id="310"/>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1" w:name="xdx_402_eus-gaap--CapitalExpendituresInc"/>
            <w:bookmarkEnd w:id="311"/>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equipment in form of other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2" w:name="xdx_986_eus-gaap--CapitalExpendituresInc"/>
            <w:bookmarkEnd w:id="312"/>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3" w:name="xdx_400_ecustom--DecreaseInRightofuseAss"/>
            <w:bookmarkEnd w:id="313"/>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 right-of-use asset due to remeasurement of lease terms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4" w:name="xdx_98D_ecustom--DecreaseInRightofuseAss"/>
            <w:bookmarkEnd w:id="314"/>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5" w:name="ex99-1_005"/>
      <w:bookmarkEnd w:id="315"/>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bookmarkStart w:id="316" w:name="xdx_80E_eus-gaap--OrganizationConsolidat"/>
      <w:bookmarkEnd w:id="316"/>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85"/>
        <w:gridCol w:w="43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17" w:name="xdx_82D_zwljMSc3tECl"/>
            <w:bookmarkEnd w:id="317"/>
            <w:r>
              <w:rPr>
                <w:rFonts w:ascii="Times New Roman;Times;Serif" w:hAnsi="Times New Roman;Times;Serif"/>
                <w:b/>
                <w:i w:val="false"/>
                <w:caps w:val="false"/>
                <w:smallCaps w:val="false"/>
                <w:sz w:val="20"/>
              </w:rPr>
              <w:t>ORGANIZATION AND PRINCIPAL ACTIVITIES</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60"/>
        <w:gridCol w:w="16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61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Viomi Technology Co., Ltd (the “Company”) is a holding company incorporated under the Laws of the Cayman Islands in </w:t>
      </w:r>
      <w:bookmarkStart w:id="318" w:name="xdx_90A_ecustom--EntityIncorporationDate"/>
      <w:bookmarkEnd w:id="318"/>
      <w:r>
        <w:rPr>
          <w:rFonts w:ascii="Times New Roman;Times;Serif" w:hAnsi="Times New Roman;Times;Serif"/>
          <w:b w:val="false"/>
          <w:i w:val="false"/>
          <w:caps w:val="false"/>
          <w:smallCaps w:val="false"/>
          <w:sz w:val="20"/>
        </w:rPr>
        <w:t>January 2015. The Company, through its consolidated subsidiaries and “VIEs” (collectively referred to as the “Group”) is primarily engaged in the operation of developing and selling Home water solution businesses products in the People’s Republic of China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319" w:name="xdx_89D_eus-gaap--ScheduleOfInvestmentsI"/>
      <w:bookmarkEnd w:id="319"/>
      <w:r>
        <w:rPr>
          <w:rFonts w:ascii="Times New Roman;Times;Serif" w:hAnsi="Times New Roman;Times;Serif"/>
          <w:b w:val="false"/>
          <w:i w:val="false"/>
          <w:caps w:val="false"/>
          <w:smallCaps w:val="false"/>
          <w:sz w:val="20"/>
        </w:rPr>
        <w:t>As of June 30, 2026, details of the Company’s principal subsidiaries and VIEs were as follows:</w:t>
      </w:r>
    </w:p>
    <w:p>
      <w:pPr>
        <w:pStyle w:val="TextBody"/>
        <w:bidi w:val="0"/>
        <w:spacing w:before="0" w:after="0"/>
        <w:ind w:left="720" w:right="0" w:hanging="0"/>
        <w:jc w:val="left"/>
        <w:rPr>
          <w:caps w:val="false"/>
          <w:smallCaps w:val="false"/>
        </w:rPr>
      </w:pPr>
      <w:r>
        <w:rPr>
          <w:caps w:val="false"/>
          <w:smallCaps w:val="false"/>
        </w:rPr>
        <w:t> </w:t>
      </w:r>
      <w:bookmarkStart w:id="320" w:name="xdx_8B5_zn6V4W9kFG69"/>
      <w:bookmarkEnd w:id="320"/>
      <w:r>
        <w:rPr>
          <w:rFonts w:ascii="Times New Roman;Times;Serif" w:hAnsi="Times New Roman;Times;Serif"/>
          <w:b w:val="false"/>
          <w:i w:val="false"/>
          <w:caps w:val="false"/>
          <w:smallCaps w:val="false"/>
          <w:sz w:val="20"/>
        </w:rPr>
        <w:t>SCHEDULE OF PRINCIPAL SUBSIDIARIES AND VIES</w:t>
      </w:r>
    </w:p>
    <w:tbl>
      <w:tblPr>
        <w:tblW w:w="9479" w:type="dxa"/>
        <w:jc w:val="left"/>
        <w:tblInd w:w="0" w:type="dxa"/>
        <w:tblLayout w:type="fixed"/>
        <w:tblCellMar>
          <w:top w:w="0" w:type="dxa"/>
          <w:left w:w="0" w:type="dxa"/>
          <w:bottom w:w="0" w:type="dxa"/>
          <w:right w:w="0" w:type="dxa"/>
        </w:tblCellMar>
      </w:tblPr>
      <w:tblGrid>
        <w:gridCol w:w="2060"/>
        <w:gridCol w:w="60"/>
        <w:gridCol w:w="1205"/>
        <w:gridCol w:w="60"/>
        <w:gridCol w:w="1490"/>
        <w:gridCol w:w="60"/>
        <w:gridCol w:w="159"/>
        <w:gridCol w:w="895"/>
        <w:gridCol w:w="185"/>
        <w:gridCol w:w="60"/>
        <w:gridCol w:w="3245"/>
      </w:tblGrid>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beneficial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HK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1" w:name="xdx_905_eus-gaap--MinorityInterestOwners"/>
            <w:bookmarkEnd w:id="321"/>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Lequan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05,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2" w:name="xdx_90A_eus-gaap--MinorityInterestOwners"/>
            <w:bookmarkEnd w:id="322"/>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Codream HK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3" w:name="xdx_901_eus-gaap--MinorityInterestOwners"/>
            <w:bookmarkEnd w:id="323"/>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Yunmi Hulian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9, 2019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4" w:name="xdx_909_eus-gaap--MinorityInterestOwners"/>
            <w:bookmarkEnd w:id="324"/>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Zhumeng Hulian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5" w:name="xdx_902_eus-gaap--MinorityInterestOwners"/>
            <w:bookmarkEnd w:id="325"/>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Lizi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26, 2018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6" w:name="xdx_908_eus-gaap--MinorityInterestOwners"/>
            <w:bookmarkEnd w:id="326"/>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appliance development and sales</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Interconnect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7, 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7" w:name="xdx_90B_eus-gaap--MinorityInterestOwners"/>
            <w:bookmarkEnd w:id="327"/>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information services</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Viomi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28" w:name="xdx_903_eus-gaap--MinorityInterestOwners"/>
            <w:bookmarkEnd w:id="328"/>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substantial business</w:t>
            </w:r>
          </w:p>
        </w:tc>
      </w:tr>
    </w:tbl>
    <w:p>
      <w:pPr>
        <w:pStyle w:val="TextBody"/>
        <w:bidi w:val="0"/>
        <w:spacing w:before="0" w:after="0"/>
        <w:ind w:left="0" w:right="0" w:hanging="0"/>
        <w:jc w:val="left"/>
        <w:rPr>
          <w:caps w:val="false"/>
          <w:smallCaps w:val="false"/>
        </w:rPr>
      </w:pPr>
      <w:bookmarkStart w:id="329" w:name="xdx_8A6_z66BPdS72PDd"/>
      <w:bookmarkEnd w:id="329"/>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618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 Arrangements between the VIEs and the Company’s PRC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Lequan or Zhumeng Hulian, entered into a series of contractual arrangements, including: (1) exclusive consultation and service agreements; (2) exclusive purchase option agreements, (3) shareholder voting proxy agreements and (4) equity pledge agreements with Beijing Viomi, Guangdong Interconnect and their shareholders, respectively. These arrangements enable Lequan or Zhumeng Hulian through their PRC subsidiaries to (1) have power to direct the activities that most significantly affects the economic performance of the VIEs, through the exercise of the shareholders’ rights under the shareholder voting proxy agreement as the shareholders’ meetings of the VIEs appoint the board of directors of the VIEs, and (2) receive the economic benefits of the VIEs that could be significant to the VIEs through the exclusive consultation and service agreement. Accordingly, Lequan or Zhumeng Hulian are considered the primary beneficiaries of the respective VIEs and have consolidated the VIEs’ financial results of operations, assets and liabilities in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conclusion that Lequan or Zhumeng Hulian are the primary beneficiaries of the VIEs, the Company believes Lequan or Zhumeng Hulian’s rights under the terms of the option agreement provide them with a substantive kick-out right. As advised by the Company’s PRC legal counsel, the Company believes the terms of the option agreement are valid, binding and enforceable under PRC laws and regulations currently in effect. The Company also believes that the consideration which is the minimum amount permitted by the applicable PRC law to exercise the option does not represent a financial barrier or disincentive for Lequan or Zhumeng Hulian to currently exercise their rights under the exclusive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simple majority vote of Lequan or Zhumeng Hulian’s board of directors is required to pass a resolution to exercise their rights under the option agreement. Lequan or Zhumeng Hulian’s rights under the option agreement give them the power to control the shareholders of Beijing Viomi and Guangdong Interconnect In addition, Lequan or Zhumeng Hulian’s rights under the shareholder voting proxy agreement also reinforce their abilities to direct the activities that most significantly impact the VIEs’ economic performance. The Company also believes that this ability to exercise control ensures that the VIEs will continue to execute consultation and service agreements and also ensures that consultation and service agreements will be executed and renewed indefinitely unless a written agreement is signed by all parties to terminate it or a mandatory termination is requested by PRC laws or regulations. Lequan and Zhumeng Hulian have the rights to receive substantially all of the economic benefits from the VIEs.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exclusive consultation and service agreements and equity pledge agreements between Lequan, Beijing Viomi and each of the shareholders of Beijing Viomi was subsequently amended and restated, and the terms were substantially similar to the exclusive consultation and service agreements described before. Other than the amendments described above, there have been no material changes to the contractual arrangements with the VIEs, the Company’s determination of the primary beneficiary of the VIEs, or the related risks since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contractual arrangements among its subsidiaries, their VIEs and their respective shareholders are in compliance with PRC laws and regulations and are legally enforceable. However, uncertainties in the PRC legal system could limit Lequan and Zhumeng Hulian’s ability to enforce the contractual arrangements. If the legal structure and contractual arrangements were found to be in violation of PRC laws and regulations, the PRC government could could take various regulatory or enforcement actions that could adversely affect the Company’s business and its ability to consolidate the VIEs.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85"/>
        <w:gridCol w:w="53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5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PRINCIPAL ACTIVITIES (Continued)</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260"/>
        <w:gridCol w:w="722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722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 Arrangements between the VIEs and the Company’s PRC subsidiaries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assets, liabilities, results of operations and cash flows of the VIEs and its subsidiaries taken as a whole on an aggregated basis, which were included in the Group’s unaudited condensed consolidated financial statements. For purposes of this presentation, activity within and between the VIEs and their subsidiaries have been eliminated, but transactions with other entities within the Consolidated Group have been included without elimination.</w:t>
      </w:r>
    </w:p>
    <w:p>
      <w:pPr>
        <w:pStyle w:val="TextBody"/>
        <w:bidi w:val="0"/>
        <w:spacing w:before="0" w:after="0"/>
        <w:ind w:left="720" w:right="0" w:hanging="0"/>
        <w:jc w:val="both"/>
        <w:rPr>
          <w:caps w:val="false"/>
          <w:smallCaps w:val="false"/>
        </w:rPr>
      </w:pPr>
      <w:bookmarkStart w:id="330" w:name="xdx_891_eus-gaap--ScheduleOfVariableInte"/>
      <w:bookmarkEnd w:id="330"/>
      <w:r>
        <w:rPr>
          <w:caps w:val="false"/>
          <w:smallCaps w:val="false"/>
        </w:rPr>
        <w:t> </w:t>
      </w:r>
      <w:bookmarkStart w:id="331" w:name="xdx_8B8_zxPgrYzkfFSa"/>
      <w:bookmarkEnd w:id="331"/>
      <w:r>
        <w:rPr>
          <w:rFonts w:ascii="Times New Roman;Times;Serif" w:hAnsi="Times New Roman;Times;Serif"/>
          <w:b w:val="false"/>
          <w:i w:val="false"/>
          <w:caps w:val="false"/>
          <w:smallCaps w:val="false"/>
          <w:sz w:val="20"/>
        </w:rPr>
        <w:t>SCHEDULE OF FINANCIAL STATEMENT AMOUNTS AND BALANCES OF VIES</w:t>
      </w:r>
    </w:p>
    <w:tbl>
      <w:tblPr>
        <w:tblW w:w="10205" w:type="dxa"/>
        <w:jc w:val="left"/>
        <w:tblInd w:w="0" w:type="dxa"/>
        <w:tblLayout w:type="fixed"/>
        <w:tblCellMar>
          <w:top w:w="0" w:type="dxa"/>
          <w:left w:w="0" w:type="dxa"/>
          <w:bottom w:w="0" w:type="dxa"/>
          <w:right w:w="0" w:type="dxa"/>
        </w:tblCellMar>
      </w:tblPr>
      <w:tblGrid>
        <w:gridCol w:w="7836"/>
        <w:gridCol w:w="60"/>
        <w:gridCol w:w="89"/>
        <w:gridCol w:w="1051"/>
        <w:gridCol w:w="60"/>
        <w:gridCol w:w="60"/>
        <w:gridCol w:w="76"/>
        <w:gridCol w:w="896"/>
        <w:gridCol w:w="77"/>
      </w:tblGrid>
      <w:tr>
        <w:trPr/>
        <w:tc>
          <w:tcPr>
            <w:tcW w:w="7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32" w:name="xdx_49C_20251231__srt--ConsolidatedEntit"/>
            <w:bookmarkEnd w:id="332"/>
          </w:p>
        </w:tc>
        <w:tc>
          <w:tcPr>
            <w:tcW w:w="11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33" w:name="xdx_49B_20260630__srt--ConsolidatedEntit"/>
            <w:bookmarkEnd w:id="333"/>
          </w:p>
        </w:tc>
        <w:tc>
          <w:tcPr>
            <w:tcW w:w="97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0"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72"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3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72"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4" w:name="xdx_40A_eus-gaap--CashAndCashEquivalents"/>
            <w:bookmarkEnd w:id="334"/>
          </w:p>
        </w:tc>
      </w:tr>
      <w:tr>
        <w:trPr/>
        <w:tc>
          <w:tcPr>
            <w:tcW w:w="78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334,198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5" w:name="xdx_408_eus-gaap--AccountsReceivableNetC"/>
            <w:bookmarkEnd w:id="335"/>
          </w:p>
        </w:tc>
      </w:tr>
      <w:tr>
        <w:trPr/>
        <w:tc>
          <w:tcPr>
            <w:tcW w:w="78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from third parties (net of allowance of </w:t>
            </w:r>
            <w:bookmarkStart w:id="336" w:name="xdx_908_eus-gaap--AllowanceForDoubtfulAc"/>
            <w:bookmarkStart w:id="337" w:name="xdx_907_eus-gaap--AllowanceForDoubtfulAc"/>
            <w:bookmarkEnd w:id="336"/>
            <w:bookmarkEnd w:id="337"/>
            <w:r>
              <w:rPr>
                <w:rFonts w:ascii="Times New Roman;Times;Serif" w:hAnsi="Times New Roman;Times;Serif"/>
                <w:b w:val="false"/>
                <w:i w:val="false"/>
                <w:caps w:val="false"/>
                <w:smallCaps w:val="false"/>
                <w:sz w:val="20"/>
              </w:rPr>
              <w:t>nil as of December 31, 2025 and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8" w:name="xdx_40D_eus-gaap--AccountsReceivableNetC"/>
            <w:bookmarkEnd w:id="338"/>
          </w:p>
        </w:tc>
      </w:tr>
      <w:tr>
        <w:trPr/>
        <w:tc>
          <w:tcPr>
            <w:tcW w:w="78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9" w:name="xdx_40F_eus-gaap--ReceivablesNetCurrent_"/>
            <w:bookmarkEnd w:id="339"/>
          </w:p>
        </w:tc>
      </w:tr>
      <w:tr>
        <w:trPr/>
        <w:tc>
          <w:tcPr>
            <w:tcW w:w="78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0" w:name="xdx_404_ecustom--AmountDueFromGroupCompa"/>
            <w:bookmarkEnd w:id="340"/>
          </w:p>
        </w:tc>
      </w:tr>
      <w:tr>
        <w:trPr/>
        <w:tc>
          <w:tcPr>
            <w:tcW w:w="78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Group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509,951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1" w:name="xdx_404_eus-gaap--InventoryNet_iI_pn3n3_"/>
            <w:bookmarkEnd w:id="341"/>
          </w:p>
        </w:tc>
      </w:tr>
      <w:tr>
        <w:trPr/>
        <w:tc>
          <w:tcPr>
            <w:tcW w:w="78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2" w:name="xdx_403_eus-gaap--OtherAssetsNoncurrent_"/>
            <w:bookmarkEnd w:id="342"/>
          </w:p>
        </w:tc>
      </w:tr>
      <w:tr>
        <w:trPr/>
        <w:tc>
          <w:tcPr>
            <w:tcW w:w="78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3" w:name="xdx_40D_eus-gaap--Assets_iTI_pn3n3_zl1Hs"/>
            <w:bookmarkEnd w:id="343"/>
          </w:p>
        </w:tc>
      </w:tr>
      <w:tr>
        <w:trPr/>
        <w:tc>
          <w:tcPr>
            <w:tcW w:w="78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513,340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511,765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4" w:name="xdx_40B_eus-gaap--AccountsPayableCurrent"/>
            <w:bookmarkEnd w:id="344"/>
          </w:p>
        </w:tc>
      </w:tr>
      <w:tr>
        <w:trPr/>
        <w:tc>
          <w:tcPr>
            <w:tcW w:w="78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and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5" w:name="xdx_40A_ecustom--AmountDueToGroupCompani"/>
            <w:bookmarkEnd w:id="345"/>
          </w:p>
        </w:tc>
      </w:tr>
      <w:tr>
        <w:trPr/>
        <w:tc>
          <w:tcPr>
            <w:tcW w:w="78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Group companies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6" w:name="xdx_405_eus-gaap--AccruedLiabilitiesCurr"/>
            <w:bookmarkEnd w:id="346"/>
          </w:p>
        </w:tc>
      </w:tr>
      <w:tr>
        <w:trPr/>
        <w:tc>
          <w:tcPr>
            <w:tcW w:w="78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7" w:name="xdx_408_eus-gaap--OtherLiabilitiesNoncur"/>
            <w:bookmarkEnd w:id="347"/>
          </w:p>
        </w:tc>
      </w:tr>
      <w:tr>
        <w:trPr/>
        <w:tc>
          <w:tcPr>
            <w:tcW w:w="78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8" w:name="xdx_407_eus-gaap--Liabilities_iTI_pn3n3_"/>
            <w:bookmarkEnd w:id="348"/>
          </w:p>
        </w:tc>
      </w:tr>
      <w:tr>
        <w:trPr/>
        <w:tc>
          <w:tcPr>
            <w:tcW w:w="78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5,941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both"/>
        <w:rPr>
          <w:caps w:val="false"/>
          <w:smallCaps w:val="false"/>
        </w:rPr>
      </w:pPr>
      <w:r>
        <w:rPr>
          <w:caps w:val="false"/>
          <w:smallCaps w:val="false"/>
        </w:rPr>
        <w:t> </w:t>
      </w:r>
    </w:p>
    <w:tbl>
      <w:tblPr>
        <w:tblW w:w="6272" w:type="dxa"/>
        <w:jc w:val="left"/>
        <w:tblInd w:w="0" w:type="dxa"/>
        <w:tblLayout w:type="fixed"/>
        <w:tblCellMar>
          <w:top w:w="0" w:type="dxa"/>
          <w:left w:w="0" w:type="dxa"/>
          <w:bottom w:w="0" w:type="dxa"/>
          <w:right w:w="0" w:type="dxa"/>
        </w:tblCellMar>
      </w:tblPr>
      <w:tblGrid>
        <w:gridCol w:w="3740"/>
        <w:gridCol w:w="60"/>
        <w:gridCol w:w="155"/>
        <w:gridCol w:w="824"/>
        <w:gridCol w:w="150"/>
        <w:gridCol w:w="112"/>
        <w:gridCol w:w="112"/>
        <w:gridCol w:w="1024"/>
        <w:gridCol w:w="95"/>
      </w:tblGrid>
      <w:tr>
        <w:trPr/>
        <w:tc>
          <w:tcPr>
            <w:tcW w:w="37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Group companies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9" w:name="xdx_98B_eus-gaap--RevenueFromContractWit"/>
            <w:bookmarkEnd w:id="349"/>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0" w:name="xdx_98D_eus-gaap--RevenueFromContractWit"/>
            <w:bookmarkEnd w:id="350"/>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a related party and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1" w:name="xdx_981_eus-gaap--RevenueFromContractWit"/>
            <w:bookmarkEnd w:id="351"/>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2" w:name="xdx_983_eus-gaap--RevenueFromContractWit"/>
            <w:bookmarkEnd w:id="352"/>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from a related party and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3" w:name="xdx_981_eus-gaap--CostOfRevenue_iN_pn3n3"/>
            <w:bookmarkEnd w:id="353"/>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4" w:name="xdx_980_eus-gaap--CostOfRevenue_iN_pn3n3"/>
            <w:bookmarkEnd w:id="354"/>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55" w:name="xdx_98D_eus-gaap--NetIncomeLoss_pn3n3_c2"/>
            <w:bookmarkEnd w:id="355"/>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56" w:name="xdx_989_eus-gaap--NetIncomeLoss_pn3n3_c2"/>
            <w:bookmarkEnd w:id="356"/>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260"/>
        <w:gridCol w:w="50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7" w:name="xdx_F0B_zBTF7qE59WGl"/>
            <w:bookmarkEnd w:id="357"/>
            <w:r>
              <w:rPr>
                <w:rFonts w:ascii="Times New Roman;Times;Serif" w:hAnsi="Times New Roman;Times;Serif"/>
                <w:b w:val="false"/>
                <w:i w:val="false"/>
                <w:caps w:val="false"/>
                <w:smallCaps w:val="false"/>
                <w:sz w:val="20"/>
              </w:rPr>
              <w:t>(1)</w:t>
            </w:r>
          </w:p>
        </w:tc>
        <w:tc>
          <w:tcPr>
            <w:tcW w:w="507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58" w:name="xdx_F18_zYFUuPmDX346"/>
            <w:bookmarkEnd w:id="358"/>
            <w:r>
              <w:rPr>
                <w:rFonts w:ascii="Times New Roman;Times;Serif" w:hAnsi="Times New Roman;Times;Serif"/>
                <w:b/>
                <w:i/>
                <w:caps w:val="false"/>
                <w:smallCaps w:val="false"/>
                <w:sz w:val="20"/>
              </w:rPr>
              <w:t>Inter-company revenues between VIEs and other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VIEs sell certain products and provide marketing services to other subsidiaries. For the six months ended June 30, 2025 and 2026, the inter-company sales recognized by VIEs to Primary beneficiaries of VIEs and their subsidiaries for the six months ended June 30, 2025 and 2026 are </w:t>
      </w:r>
      <w:bookmarkStart w:id="359" w:name="xdx_90E_eus-gaap--RevenueFromContractWit"/>
      <w:bookmarkEnd w:id="359"/>
      <w:r>
        <w:rPr>
          <w:rFonts w:ascii="Times New Roman;Times;Serif" w:hAnsi="Times New Roman;Times;Serif"/>
          <w:b w:val="false"/>
          <w:i w:val="false"/>
          <w:caps w:val="false"/>
          <w:smallCaps w:val="false"/>
          <w:sz w:val="20"/>
        </w:rPr>
        <w:t>nil and RMB</w:t>
      </w:r>
      <w:bookmarkStart w:id="360" w:name="xdx_90C_eus-gaap--RevenueFromContractWit"/>
      <w:bookmarkEnd w:id="360"/>
      <w:r>
        <w:rPr>
          <w:rFonts w:ascii="Times New Roman;Times;Serif" w:hAnsi="Times New Roman;Times;Serif"/>
          <w:b w:val="false"/>
          <w:i w:val="false"/>
          <w:caps w:val="false"/>
          <w:smallCaps w:val="false"/>
          <w:sz w:val="20"/>
        </w:rPr>
        <w:t>1,602, respectively.</w:t>
      </w:r>
    </w:p>
    <w:p>
      <w:pPr>
        <w:pStyle w:val="TextBody"/>
        <w:bidi w:val="0"/>
        <w:spacing w:before="0" w:after="0"/>
        <w:ind w:left="0" w:right="0" w:hanging="0"/>
        <w:jc w:val="left"/>
        <w:rPr>
          <w:caps w:val="false"/>
          <w:smallCaps w:val="false"/>
        </w:rPr>
      </w:pPr>
      <w:bookmarkStart w:id="361" w:name="xdx_8A3_z2xjCB95Yo39"/>
      <w:bookmarkEnd w:id="361"/>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bookmarkStart w:id="362" w:name="xdx_80C_eus-gaap--SignificantAccountingP"/>
      <w:bookmarkEnd w:id="362"/>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85"/>
        <w:gridCol w:w="36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6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63" w:name="xdx_827_z8o4FrKU8gSe"/>
            <w:bookmarkEnd w:id="363"/>
            <w:r>
              <w:rPr>
                <w:rFonts w:ascii="Times New Roman;Times;Serif" w:hAnsi="Times New Roman;Times;Serif"/>
                <w:b/>
                <w:i w:val="false"/>
                <w:caps w:val="false"/>
                <w:smallCaps w:val="false"/>
                <w:sz w:val="20"/>
              </w:rPr>
              <w:t>SIGNIFICANT ACCOUNTING POLICIES</w:t>
            </w:r>
          </w:p>
        </w:tc>
      </w:tr>
    </w:tbl>
    <w:p>
      <w:pPr>
        <w:pStyle w:val="TextBody"/>
        <w:bidi w:val="0"/>
        <w:spacing w:before="0" w:after="0"/>
        <w:ind w:left="0" w:right="0" w:hanging="0"/>
        <w:jc w:val="left"/>
        <w:rPr>
          <w:caps w:val="false"/>
          <w:smallCaps w:val="false"/>
        </w:rPr>
      </w:pPr>
      <w:bookmarkStart w:id="364" w:name="xdx_841_eus-gaap--BasisOfAccountingPolic"/>
      <w:bookmarkEnd w:id="364"/>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60"/>
        <w:gridCol w:w="177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77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65" w:name="xdx_866_ztqQFog0ztZi"/>
            <w:bookmarkEnd w:id="365"/>
            <w:r>
              <w:rPr>
                <w:rFonts w:ascii="Times New Roman;Times;Serif" w:hAnsi="Times New Roman;Times;Serif"/>
                <w:b/>
                <w:i/>
                <w:caps w:val="false"/>
                <w:smallCaps w:val="false"/>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of the Group have been prepared in accordance with accounting principles generally accepted in the United States of America (“U.S. GAAP”) for interim financial information, and with the rules and regulations of the SEC. Accordingly, they do not include all of the information and footnotes required by U.S. GAAP for complete financial statements. In the opinion of the Group, the accompanying unaudited condensed financial statements contain all adjustments, consisting of only normal recurring adjustments, necessary for a fair statement of its financial position as of June 30, 2026, and its results of operations for the six months ended June 30, 2025 and 2026, and cash flows for the six months ended June 30, 2025 and 2026. The condensed balance sheet as of December 31, 2025, was derived from audited annual financial statements. The accompanying unaudited condensed consolidated financial statements should be read in conjunction with audited consolidated financial statements and accompanying notes in the Company’s Annual Report on Form 20-F for the fiscal year ended December 31, 2025. The consolidated results of operations for any interim period are not necessarily indicative of the results to be expected for the full year or for any other future years or interim periods.</w:t>
      </w:r>
    </w:p>
    <w:p>
      <w:pPr>
        <w:pStyle w:val="TextBody"/>
        <w:bidi w:val="0"/>
        <w:spacing w:before="0" w:after="0"/>
        <w:ind w:left="0" w:right="0" w:hanging="0"/>
        <w:jc w:val="left"/>
        <w:rPr>
          <w:caps w:val="false"/>
          <w:smallCaps w:val="false"/>
        </w:rPr>
      </w:pPr>
      <w:bookmarkStart w:id="366" w:name="xdx_84E_eus-gaap--ConsolidationPolicyTex"/>
      <w:bookmarkEnd w:id="366"/>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60"/>
        <w:gridCol w:w="122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2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67" w:name="xdx_867_zFNWYDE8LTii"/>
            <w:bookmarkEnd w:id="367"/>
            <w:r>
              <w:rPr>
                <w:rFonts w:ascii="Times New Roman;Times;Serif" w:hAnsi="Times New Roman;Times;Serif"/>
                <w:b/>
                <w:i/>
                <w:caps w:val="false"/>
                <w:smallCaps w:val="false"/>
                <w:sz w:val="20"/>
              </w:rPr>
              <w:t>Consolidation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unaudited condensed consolidated financial statements include the financial statements of the Company, its subsidiaries and VIEs for which the Company or its subsidiaries are the primary beneficiaries. All transactions and balances among the Company, its subsidiaries and VIEs have been eliminated upon consolidation.</w:t>
      </w:r>
    </w:p>
    <w:p>
      <w:pPr>
        <w:pStyle w:val="TextBody"/>
        <w:bidi w:val="0"/>
        <w:spacing w:before="0" w:after="0"/>
        <w:ind w:left="0" w:right="0" w:hanging="0"/>
        <w:jc w:val="left"/>
        <w:rPr>
          <w:caps w:val="false"/>
          <w:smallCaps w:val="false"/>
        </w:rPr>
      </w:pPr>
      <w:bookmarkStart w:id="368" w:name="xdx_844_eus-gaap--UseOfEstimates_ziqLk65"/>
      <w:bookmarkEnd w:id="368"/>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45"/>
        <w:gridCol w:w="1355"/>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35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69" w:name="xdx_86C_zGEGxqNauvYk"/>
            <w:bookmarkEnd w:id="369"/>
            <w:r>
              <w:rPr>
                <w:rFonts w:ascii="Times New Roman;Times;Serif" w:hAnsi="Times New Roman;Times;Serif"/>
                <w:b/>
                <w:i/>
                <w:caps w:val="false"/>
                <w:smallCaps w:val="false"/>
                <w:sz w:val="20"/>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in conformity with U.S. GAAP requires management to make estimates and assumptions that affect the amounts reported and disclosed in the unaudited condensed consolidated financial statements and accompanying notes. Significant accounting estimates reflected in the Group’s unaudited condensed consolidated financial statements include sales returns, inventory valuation, product warranties, variable consideration, share-based compensation, allowance for credit losses, and the valuation allowance for deferred tax assets. Actual results could differ from those estimates, and such differences may be material to the unaudited condensed consolidated financial statements.</w:t>
      </w:r>
    </w:p>
    <w:p>
      <w:pPr>
        <w:pStyle w:val="TextBody"/>
        <w:bidi w:val="0"/>
        <w:spacing w:before="0" w:after="0"/>
        <w:ind w:left="0" w:right="0" w:hanging="0"/>
        <w:jc w:val="left"/>
        <w:rPr>
          <w:caps w:val="false"/>
          <w:smallCaps w:val="false"/>
        </w:rPr>
      </w:pPr>
      <w:bookmarkStart w:id="370" w:name="xdx_849_eus-gaap--ForeignCurrencyTransac"/>
      <w:bookmarkEnd w:id="370"/>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60"/>
        <w:gridCol w:w="243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243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71" w:name="xdx_864_zYxhF65moF6g"/>
            <w:bookmarkEnd w:id="371"/>
            <w:r>
              <w:rPr>
                <w:rFonts w:ascii="Times New Roman;Times;Serif" w:hAnsi="Times New Roman;Times;Serif"/>
                <w:b/>
                <w:i/>
                <w:caps w:val="false"/>
                <w:smallCaps w:val="false"/>
                <w:sz w:val="20"/>
              </w:rPr>
              <w:t>Foreign currency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Renminbi (“RMB”) as its reporting currency. The functional currency of the Company and its subsidiaries incorporated in Hong Kong and British Virgin Islands are United States dollar (“US$”), while the functional currency of the Group’s entities in the PRC is RMB, which is their respective local currency. In the unaudited condensed consolidated financial statements, the financial information of the Company and its subsidiaries in Hong Kong and British Virgin Islands, which use US$ as their functional currency, have been translated into RMB. Assets and liabilities are translated at the exchange rates on the balance sheet date, equity amounts are translated at historical exchange rates, and revenues, expenses, and incomes are translated using the average exchange rate for the period. Translation adjustments arising from these are reported as foreign currency translation adjustments and are shown as a component of other comprehensive loss in the statements of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denominated in currencies other than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Foreign exchange gains and losses resulting from the settlement of such transactions and from remeasurement at year-end are recognized in Foreign currency translation adjustment in the unaudited condensed consolidated statements of comprehensive income (loss).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color w:val="0000EE"/>
        </w:rPr>
      </w:pPr>
      <w:r>
        <w:rPr>
          <w:caps w:val="false"/>
          <w:smallCaps w:val="false"/>
          <w:color w:val="0000E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 (Continued)</w:t>
            </w:r>
          </w:p>
        </w:tc>
      </w:tr>
    </w:tbl>
    <w:p>
      <w:pPr>
        <w:pStyle w:val="TextBody"/>
        <w:bidi w:val="0"/>
        <w:spacing w:before="0" w:after="0"/>
        <w:ind w:left="0" w:right="0" w:hanging="0"/>
        <w:jc w:val="left"/>
        <w:rPr>
          <w:caps w:val="false"/>
          <w:smallCaps w:val="false"/>
        </w:rPr>
      </w:pPr>
      <w:bookmarkStart w:id="372" w:name="xdx_847_eus-gaap--CashAndCashEquivalents"/>
      <w:bookmarkEnd w:id="372"/>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45"/>
        <w:gridCol w:w="2060"/>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w:t>
            </w:r>
          </w:p>
        </w:tc>
        <w:tc>
          <w:tcPr>
            <w:tcW w:w="206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73" w:name="xdx_860_zbn4OAF9pBGd"/>
            <w:bookmarkEnd w:id="373"/>
            <w:r>
              <w:rPr>
                <w:rFonts w:ascii="Times New Roman;Times;Serif" w:hAnsi="Times New Roman;Times;Serif"/>
                <w:b/>
                <w:i/>
                <w:caps w:val="false"/>
                <w:smallCaps w:val="false"/>
                <w:sz w:val="20"/>
              </w:rPr>
              <w:t>Convenience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balances in the unaudited condensed consolidated balance sheets, unaudited condensed consolidated statements of comprehensive income (loss) and unaudited condensed consolidated statements of cash flows from RMB into US$ as of and for the six months ended June 30, 2026 are solely for the convenience of the reader and were calculated at the noon buying rate of US$1.00 = RMB</w:t>
      </w:r>
      <w:bookmarkStart w:id="374" w:name="xdx_90F_eus-gaap--ForeignCurrencyExchang"/>
      <w:bookmarkEnd w:id="374"/>
      <w:r>
        <w:rPr>
          <w:rFonts w:ascii="Times New Roman;Times;Serif" w:hAnsi="Times New Roman;Times;Serif"/>
          <w:b w:val="false"/>
          <w:i w:val="false"/>
          <w:caps w:val="false"/>
          <w:smallCaps w:val="false"/>
          <w:sz w:val="20"/>
        </w:rPr>
        <w:t>6.7851 on June 30, 2026 as set forth in the H.10 statistical release of the U.S. Federal Reserve Board. No representation is made that the RMB amounts could have been, or could be, converted, realized or settled into US$ at that rate on June 30, 2026, or at any other rate.</w:t>
      </w:r>
    </w:p>
    <w:p>
      <w:pPr>
        <w:pStyle w:val="TextBody"/>
        <w:bidi w:val="0"/>
        <w:spacing w:before="0" w:after="0"/>
        <w:ind w:left="0" w:right="0" w:hanging="0"/>
        <w:jc w:val="left"/>
        <w:rPr>
          <w:caps w:val="false"/>
          <w:smallCaps w:val="false"/>
        </w:rPr>
      </w:pPr>
      <w:bookmarkStart w:id="375" w:name="xdx_845_eus-gaap--TradeAndOtherAccountsR"/>
      <w:bookmarkEnd w:id="375"/>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15"/>
        <w:gridCol w:w="1700"/>
      </w:tblGrid>
      <w:tr>
        <w:trPr/>
        <w:tc>
          <w:tcPr>
            <w:tcW w:w="21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w:t>
            </w:r>
          </w:p>
        </w:tc>
        <w:tc>
          <w:tcPr>
            <w:tcW w:w="170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76" w:name="xdx_867_zC4MSqZHWKwg"/>
            <w:bookmarkEnd w:id="376"/>
            <w:r>
              <w:rPr>
                <w:rFonts w:ascii="Times New Roman;Times;Serif" w:hAnsi="Times New Roman;Times;Serif"/>
                <w:b/>
                <w:i/>
                <w:caps w:val="false"/>
                <w:smallCaps w:val="false"/>
                <w:sz w:val="20"/>
              </w:rPr>
              <w:t>Accounts receivable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stated at the historical carrying amount net of allowance for credit losses. On January 1, 2020, the Group adopted ASC326, “Financial Instruments—Credit Losses” using modified retrospective transition approach. The Group provides an allowance against accounts receivable to the amount management reasonably believe will be collected. The Group writes off trade receivable when they are deemed uncollectible.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maintains an allowance for credit losses which reflects its best estimate of amounts that potentially will not be collected. Accounts receivable have been grouped based on shared credit risk characteristics and days past due to estimate, taking into consideration various factors including but not limited to historical collection experience and credit-worthiness of the debtors.</w:t>
      </w:r>
    </w:p>
    <w:p>
      <w:pPr>
        <w:pStyle w:val="TextBody"/>
        <w:bidi w:val="0"/>
        <w:spacing w:before="0" w:after="0"/>
        <w:ind w:left="0" w:right="0" w:hanging="0"/>
        <w:jc w:val="left"/>
        <w:rPr>
          <w:caps w:val="false"/>
          <w:smallCaps w:val="false"/>
        </w:rPr>
      </w:pPr>
      <w:bookmarkStart w:id="377" w:name="xdx_84F_eus-gaap--RevenueFromContractWit"/>
      <w:bookmarkEnd w:id="377"/>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60"/>
        <w:gridCol w:w="174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t>
            </w:r>
          </w:p>
        </w:tc>
        <w:tc>
          <w:tcPr>
            <w:tcW w:w="174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378" w:name="xdx_86E_zf6324FSKuA9"/>
            <w:bookmarkEnd w:id="378"/>
            <w:r>
              <w:rPr>
                <w:rFonts w:ascii="Times New Roman;Times;Serif" w:hAnsi="Times New Roman;Times;Serif"/>
                <w:b/>
                <w:i/>
                <w:caps w:val="false"/>
                <w:smallCaps w:val="false"/>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2014, the FASB issued ASU No. 2014-09, “Revenue from Contracts with Customers (Topic 606)” (“ASU 2014-09”) and subsequently, the FASB issued several amendments which amend certain aspects of the guidance in ASC 2014-09 (ASU No. 2014-09 and the related amendments are collectively referred to as “ASC 606”). According to ASC 606, revenue is recognized when control of the promised good or service is transferred to the customers, in an amount that reflects the consideration the Group expects to be entitled to in exchange for those goods or services. The Group will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 The Group adopted ASC 606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 is primarily derived from (i) Home water systems, which are composed of smart water purification systems, kettles and heaters, (ii) consumable products complementary to the Group’s Home water systems, such as water purifier filters, (iii) Kitchen appliances and others. Refer to Note 14 to the unaudited condensed consolidated financial statements for disaggregation of the Group’s revenue by type of product and service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200"/>
        <w:gridCol w:w="612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conducts its business through various contractual arrangements.</w:t>
            </w:r>
          </w:p>
        </w:tc>
      </w:tr>
    </w:tbl>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Xiaomi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generated a substantial portion of its revenues from sales of products to Xiaomi.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cooperation agreement entered into between the Group and Xiaomi, the Group is responsible for design, research, development, production, and delivery of designated products using the brand name of “Xiaomi” (“Xiaomi-branded products”). Xiaomi is responsible for commercial distributions and sales. Revenue is recognized upon acceptance by this customer, which is considered at the time the control of the products is transferred to Xiaomi.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majority of types of products sold to this customer, the selling price is a fixed amount as agreed by both parties. For other types of products sold to this customer, the sales arrangement includes </w:t>
      </w:r>
      <w:bookmarkStart w:id="379" w:name="xdx_90A_ecustom--NumberOfInstallmentPaym"/>
      <w:bookmarkEnd w:id="379"/>
      <w:r>
        <w:rPr>
          <w:rFonts w:ascii="Times New Roman;Times;Serif" w:hAnsi="Times New Roman;Times;Serif"/>
          <w:b w:val="false"/>
          <w:i w:val="false"/>
          <w:caps w:val="false"/>
          <w:smallCaps w:val="false"/>
          <w:sz w:val="20"/>
        </w:rPr>
        <w:t>two installment payments. The first installment is priced to recover the costs incurred by the Group in developing, producing, and shipping the products to this customer and is payable to the Group upon acceptance by the customer after delivery. The Group is also entitled to receive a potential variable second installment payment calculated as certain portion of the future gross profits from commercial sales made by this customer.</w:t>
      </w:r>
    </w:p>
    <w:p>
      <w:pPr>
        <w:pStyle w:val="TextBody"/>
        <w:bidi w:val="0"/>
        <w:spacing w:before="0" w:after="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72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 (Continued)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installment payment represents variable consideration because the amount of consideration to which the Group is entitled depends on future events, including the customer’s subsequent commercial sales of the relevant products and the determination of the related gross profits. Accordingly, the Group determines the transaction price as the fixed first installment payment plus the variable second installment payment to the extent that it is probable that a significant revenue reversal will not occur when settling with the customer subsequently.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and 2026, total net revenues earned from the variable second installment payment arrangement, represented </w:t>
      </w:r>
      <w:bookmarkStart w:id="380" w:name="xdx_90E_ecustom--PercentageOfSecondInsta"/>
      <w:bookmarkEnd w:id="380"/>
      <w:r>
        <w:rPr>
          <w:rFonts w:ascii="Times New Roman;Times;Serif" w:hAnsi="Times New Roman;Times;Serif"/>
          <w:b w:val="false"/>
          <w:i w:val="false"/>
          <w:caps w:val="false"/>
          <w:smallCaps w:val="false"/>
          <w:sz w:val="20"/>
        </w:rPr>
        <w:t xml:space="preserve">12.4% and </w:t>
      </w:r>
      <w:bookmarkStart w:id="381" w:name="xdx_905_ecustom--PercentageOfSecondInsta"/>
      <w:bookmarkEnd w:id="381"/>
      <w:r>
        <w:rPr>
          <w:rFonts w:ascii="Times New Roman;Times;Serif" w:hAnsi="Times New Roman;Times;Serif"/>
          <w:b w:val="false"/>
          <w:i w:val="false"/>
          <w:caps w:val="false"/>
          <w:smallCaps w:val="false"/>
          <w:sz w:val="20"/>
        </w:rPr>
        <w:t>7.8% of total revenue from Xiaomi, respectively. These amounts consist of two components: (i) amounts determined through monthly settlements with this customer, for which the uncertainty has been resolved, and (ii) estimated second installment consideration for unsettled units as of the respective reporting 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third-party customers, including: sales to leading e-commerce platforms and offline stores; and sales to customers directly through the online platforms operated by Xiaomi, third parties and the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for the sales to third-party customers in accordance with the applicable revenue recognition method for each of the distinct performance obligation identified. Sales of products is recognized upon acceptance by customers after delivery. Installation services revenues are recognized when the services are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Sales to leading e-commerce platforms and offline experience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contracts between the Group and the leading e-commerce platforms/offline experience stores (“e-commerce platforms and stores”), the e-commerce platforms and stores have legal title and physical possession of the products upon acceptance and they would bear the risk of loss due to physical damage before the products are transferred and accepted by end customers. The e-commerce platforms and stores are responsible for delivering the products to end customers and can direct the use of the products and obtain the remaining benefits from the products by reselling the products. The e-commerce platforms and stores have flexibility in determining the retail sales price within relatively broad price range set by the Group. Based on these indicators, the Group determined the e-commerce platforms and stores (as opposed to the end customers) as its customers according to ASC 606-10-55-39. The Group recognizes revenue equal to the sales price to the e-commerce platforms and stores when control of the inventory is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Sales to customers directly through the online platforms operated by Xiaomi, third parties and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cooperation agreements entered between the Group and online platforms, the platforms’ responsibilities are limited to offering an online marketplace, while the Group is primarily obligated in a sales transaction and takes inventory risk and has latitude in determining prices. The platforms charged the Group commission fees at pre-determined amounts or a fixed rate based on the sales amounts. Commission fees are recognized as selling expenses. The Group determined the end customers (as opposed to the platforms) as its customers and recognizes revenue equal to the sales price to the end customers when control of the inventory is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Rendering of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installation service to end customers for designated Viomi-branded products without separate charge. The installation service is considered being distinct and accounted for as a separate performance obligation. The Group expects to be entitled to a breakage amount in the contract liabilities related to installation services. The Group estimates the breakage portion based on historical customers’ requests and recognizes estimated breakage as revenue in proportion to the pattern of rights exercised by end customers on a semi-annually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allocates the arrangement consideration to the separate accounting of each distinct performance obligation based on their relative standalone selling price. The standalone selling price of the products is determined based on adjusted market assessment approach, while the standalone selling price of the installation services is determined using a cost-plus margin approach.</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00"/>
        <w:gridCol w:w="272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returns and sales incentives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to leading e-commerce platforms, the Group estimates sales returns and sales incentives as variable consideration in determining the transaction price. Based on historical information and other relevant evidence, the Group recognizes revenue only to the extent that it is probable that a significant reversal of cumulative revenue recognized will not occur. For the six months ended June 30, 2025 and 2026, the expected sales return was RMB</w:t>
      </w:r>
      <w:bookmarkStart w:id="382" w:name="xdx_908_ecustom--ContractWithCustomerExp"/>
      <w:bookmarkEnd w:id="382"/>
      <w:r>
        <w:rPr>
          <w:rFonts w:ascii="Times New Roman;Times;Serif" w:hAnsi="Times New Roman;Times;Serif"/>
          <w:b w:val="false"/>
          <w:i w:val="false"/>
          <w:caps w:val="false"/>
          <w:smallCaps w:val="false"/>
          <w:sz w:val="20"/>
        </w:rPr>
        <w:t>474 and RMB</w:t>
      </w:r>
      <w:bookmarkStart w:id="383" w:name="xdx_900_ecustom--ContractWithCustomerExp"/>
      <w:bookmarkEnd w:id="383"/>
      <w:r>
        <w:rPr>
          <w:rFonts w:ascii="Times New Roman;Times;Serif" w:hAnsi="Times New Roman;Times;Serif"/>
          <w:b w:val="false"/>
          <w:i w:val="false"/>
          <w:caps w:val="false"/>
          <w:smallCaps w:val="false"/>
          <w:sz w:val="20"/>
        </w:rPr>
        <w:t>789, respectively. Accordingly, the Group recognizes an expected return asset of RMB</w:t>
      </w:r>
      <w:bookmarkStart w:id="384" w:name="xdx_90F_eus-gaap--ContractWithCustomerRi"/>
      <w:bookmarkEnd w:id="384"/>
      <w:r>
        <w:rPr>
          <w:rFonts w:ascii="Times New Roman;Times;Serif" w:hAnsi="Times New Roman;Times;Serif"/>
          <w:b w:val="false"/>
          <w:i w:val="false"/>
          <w:caps w:val="false"/>
          <w:smallCaps w:val="false"/>
          <w:sz w:val="20"/>
        </w:rPr>
        <w:t>63 and RMB</w:t>
      </w:r>
      <w:bookmarkStart w:id="385" w:name="xdx_905_eus-gaap--ContractWithCustomerRi"/>
      <w:bookmarkEnd w:id="385"/>
      <w:r>
        <w:rPr>
          <w:rFonts w:ascii="Times New Roman;Times;Serif" w:hAnsi="Times New Roman;Times;Serif"/>
          <w:b w:val="false"/>
          <w:i w:val="false"/>
          <w:caps w:val="false"/>
          <w:smallCaps w:val="false"/>
          <w:sz w:val="20"/>
        </w:rPr>
        <w:t>401 and a refund liability of RMB</w:t>
      </w:r>
      <w:bookmarkStart w:id="386" w:name="xdx_90C_eus-gaap--ContractWithCustomerRe"/>
      <w:bookmarkEnd w:id="386"/>
      <w:r>
        <w:rPr>
          <w:rFonts w:ascii="Times New Roman;Times;Serif" w:hAnsi="Times New Roman;Times;Serif"/>
          <w:b w:val="false"/>
          <w:i w:val="false"/>
          <w:caps w:val="false"/>
          <w:smallCaps w:val="false"/>
          <w:sz w:val="20"/>
        </w:rPr>
        <w:t>129 and RMB</w:t>
      </w:r>
      <w:bookmarkStart w:id="387" w:name="xdx_90D_eus-gaap--ContractWithCustomerRe"/>
      <w:bookmarkEnd w:id="387"/>
      <w:r>
        <w:rPr>
          <w:rFonts w:ascii="Times New Roman;Times;Serif" w:hAnsi="Times New Roman;Times;Serif"/>
          <w:b w:val="false"/>
          <w:i w:val="false"/>
          <w:caps w:val="false"/>
          <w:smallCaps w:val="false"/>
          <w:sz w:val="20"/>
        </w:rPr>
        <w:t>892 as of December 31, 2025 and June 30, 2026, respectively. The Group updates its estimates of expected returns and sales incentives at each reporting period. The expected return asset is presented and assessed for impairment separately from the refund liability.</w:t>
      </w:r>
    </w:p>
    <w:p>
      <w:pPr>
        <w:pStyle w:val="TextBody"/>
        <w:bidi w:val="0"/>
        <w:spacing w:before="0" w:after="0"/>
        <w:ind w:left="565"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72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 (Continued)</w:t>
            </w:r>
          </w:p>
        </w:tc>
      </w:tr>
    </w:tbl>
    <w:p>
      <w:pPr>
        <w:pStyle w:val="TextBody"/>
        <w:bidi w:val="0"/>
        <w:spacing w:before="0" w:after="0"/>
        <w:ind w:left="565"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Group might provide various consideration to the e-commerce platforms, such as gross margin guarantee, advertising and promotion fees, in the form of cash, or directly reducing amounts owed to the Group by the e-commerce platforms. The Group evaluates each type of incentives or fees to be paid in accordance with ASC 606 and reduces the transaction price for the sale of products by the amount of various consideration payable to the e-commerce platforms considering that the Group either does not receive any service from the e-commerce platforms or cannot elect to engage another vendor to provide similar advertising services on a standalone basis.</w:t>
      </w:r>
    </w:p>
    <w:p>
      <w:pPr>
        <w:pStyle w:val="TextBody"/>
        <w:bidi w:val="0"/>
        <w:spacing w:before="0" w:after="0"/>
        <w:ind w:left="565"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through online platforms, end customers have an unconditional right to return products purchased through online platforms within 7 days. The Group bases its estimates of sales returns on historical results and recognizes revenue net of estimated sales returns and sales incentives.</w:t>
      </w:r>
    </w:p>
    <w:p>
      <w:pPr>
        <w:pStyle w:val="TextBody"/>
        <w:bidi w:val="0"/>
        <w:spacing w:before="0" w:after="0"/>
        <w:ind w:left="0" w:right="0" w:hanging="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00"/>
        <w:gridCol w:w="78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product warranty pursuant to standard product quality required by consumer protection law. Such warranties are accounted for in accordance with ASC 460 Guarantees. At the time revenue is recognized, an estimate of warranty expenses is recorded and recognized as cost of revenues.</w:t>
      </w:r>
    </w:p>
    <w:p>
      <w:pPr>
        <w:pStyle w:val="TextBody"/>
        <w:bidi w:val="0"/>
        <w:spacing w:before="0" w:after="0"/>
        <w:ind w:left="565"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00"/>
        <w:gridCol w:w="152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added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Value added taxes (“VAT”) on sales is calculated at </w:t>
      </w:r>
      <w:bookmarkStart w:id="388" w:name="xdx_90E_ecustom--ValueAddedTaxRate_iI_pi"/>
      <w:bookmarkEnd w:id="388"/>
      <w:r>
        <w:rPr>
          <w:rFonts w:ascii="Times New Roman;Times;Serif" w:hAnsi="Times New Roman;Times;Serif"/>
          <w:b w:val="false"/>
          <w:i w:val="false"/>
          <w:caps w:val="false"/>
          <w:smallCaps w:val="false"/>
          <w:sz w:val="20"/>
        </w:rPr>
        <w:t>13% after April 1, 2019. The Group reports revenue net of VAT. Subsidiaries and VIEs that are VAT general taxpayers are allowed to offset qualified VAT paid against their output VAT liabilities.</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00"/>
        <w:gridCol w:w="149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balances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customers, including Xiaomi and third-party customers, are entitled to a credit term. The expected length of time between the products being transferred to customers and when they pay for those products is short. There is no difference between the amount of promised consideration and the cash selling price of the promised products. Therefore, the Group concludes that the contracts with these key customers generally do not include a significant financing component.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have contract assets as of December 31, 2025 and June 30, 2026. Contract liabilities consist of deferred revenue related to the Group’s provision of installation services, where there is still an obligation to be fulfilled by the Group. The contract liabilities will be recognized as revenue when all of the revenue recognition criteria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deferred revenue were RMB</w:t>
      </w:r>
      <w:bookmarkStart w:id="389" w:name="xdx_902_eus-gaap--ContractWithCustomerLi"/>
      <w:bookmarkEnd w:id="389"/>
      <w:r>
        <w:rPr>
          <w:rFonts w:ascii="Times New Roman;Times;Serif" w:hAnsi="Times New Roman;Times;Serif"/>
          <w:b w:val="false"/>
          <w:i w:val="false"/>
          <w:caps w:val="false"/>
          <w:smallCaps w:val="false"/>
          <w:sz w:val="20"/>
        </w:rPr>
        <w:t>416 and RMB</w:t>
      </w:r>
      <w:bookmarkStart w:id="390" w:name="xdx_901_eus-gaap--ContractWithCustomerLi"/>
      <w:bookmarkEnd w:id="390"/>
      <w:r>
        <w:rPr>
          <w:rFonts w:ascii="Times New Roman;Times;Serif" w:hAnsi="Times New Roman;Times;Serif"/>
          <w:b w:val="false"/>
          <w:i w:val="false"/>
          <w:caps w:val="false"/>
          <w:smallCaps w:val="false"/>
          <w:sz w:val="20"/>
        </w:rPr>
        <w:t>3,028, respectively. During the six months ended June 30, 2025 and 2026, the Group recognized revenue of installation services amounted to RMB</w:t>
      </w:r>
      <w:bookmarkStart w:id="391" w:name="xdx_906_eus-gaap--ContractWithCustomerLi"/>
      <w:bookmarkEnd w:id="391"/>
      <w:r>
        <w:rPr>
          <w:rFonts w:ascii="Times New Roman;Times;Serif" w:hAnsi="Times New Roman;Times;Serif"/>
          <w:b w:val="false"/>
          <w:i w:val="false"/>
          <w:caps w:val="false"/>
          <w:smallCaps w:val="false"/>
          <w:sz w:val="20"/>
        </w:rPr>
        <w:t>1,864 and RMB</w:t>
      </w:r>
      <w:bookmarkStart w:id="392" w:name="xdx_90F_eus-gaap--ContractWithCustomerLi"/>
      <w:bookmarkEnd w:id="392"/>
      <w:r>
        <w:rPr>
          <w:rFonts w:ascii="Times New Roman;Times;Serif" w:hAnsi="Times New Roman;Times;Serif"/>
          <w:b w:val="false"/>
          <w:i w:val="false"/>
          <w:caps w:val="false"/>
          <w:smallCaps w:val="false"/>
          <w:sz w:val="20"/>
        </w:rPr>
        <w:t>416, respectively, that was included in the corresponding contract liability balance at the beginning of the years. The Group expects to recognize RMB</w:t>
      </w:r>
      <w:bookmarkStart w:id="393" w:name="xdx_90A_eus-gaap--RevenueRemainingPerfor"/>
      <w:bookmarkEnd w:id="393"/>
      <w:r>
        <w:rPr>
          <w:rFonts w:ascii="Times New Roman;Times;Serif" w:hAnsi="Times New Roman;Times;Serif"/>
          <w:b w:val="false"/>
          <w:i w:val="false"/>
          <w:caps w:val="false"/>
          <w:smallCaps w:val="false"/>
          <w:sz w:val="20"/>
        </w:rPr>
        <w:t>3,028 of the unearned amount for the Group’s remaining performance obligations related to installation services in the next 12 months. During the six months ended June 30, 2025 and 2026, the Group does not have any arrangement where the performance obligations have already been satisfied in the past period, but the corresponding revenue is only recognized in a later period.</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 (Continued)</w:t>
            </w:r>
          </w:p>
        </w:tc>
      </w:tr>
    </w:tbl>
    <w:p>
      <w:pPr>
        <w:pStyle w:val="TextBody"/>
        <w:bidi w:val="0"/>
        <w:spacing w:before="0" w:after="0"/>
        <w:ind w:left="0" w:right="0" w:hanging="0"/>
        <w:jc w:val="left"/>
        <w:rPr>
          <w:caps w:val="false"/>
          <w:smallCaps w:val="false"/>
        </w:rPr>
      </w:pPr>
      <w:bookmarkStart w:id="394" w:name="xdx_84E_eus-gaap--CreditLossFinancialIns"/>
      <w:bookmarkEnd w:id="394"/>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60"/>
        <w:gridCol w:w="25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w:t>
            </w:r>
          </w:p>
        </w:tc>
        <w:tc>
          <w:tcPr>
            <w:tcW w:w="2510" w:type="dxa"/>
            <w:tcBorders/>
            <w:vAlign w:val="center"/>
          </w:tcPr>
          <w:p>
            <w:pPr>
              <w:pStyle w:val="TableContents"/>
              <w:bidi w:val="0"/>
              <w:spacing w:before="0" w:after="283"/>
              <w:jc w:val="both"/>
              <w:rPr>
                <w:rFonts w:ascii="Times New Roman;Times;Serif" w:hAnsi="Times New Roman;Times;Serif"/>
                <w:b/>
                <w:i/>
                <w:caps w:val="false"/>
                <w:smallCaps w:val="false"/>
                <w:sz w:val="20"/>
              </w:rPr>
            </w:pPr>
            <w:bookmarkStart w:id="395" w:name="xdx_868_zOgdbwP1yaze"/>
            <w:bookmarkEnd w:id="395"/>
            <w:r>
              <w:rPr>
                <w:rFonts w:ascii="Times New Roman;Times;Serif" w:hAnsi="Times New Roman;Times;Serif"/>
                <w:b/>
                <w:i/>
                <w:caps w:val="false"/>
                <w:smallCaps w:val="false"/>
                <w:sz w:val="20"/>
              </w:rPr>
              <w:t>Current expected credit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accounts and notes receivable and other receivables from related parties and third parties are within the scope of ASC Topic 326. The Group has identified the relevant risk characteristics of its customers and the related accounts and notes receivable and other receivables based on their credit rating.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payment terms offered in the normal course of business to customers and industry-specific factors that could impact the Group’s receivables. Additionally, macroeconomic factors are also considered. This is assessed at each period based on the Group’s specific facts and circumstances. For the six months ended June 30, 2025, and 2026, the Group recorded expected credit losses of RMB</w:t>
      </w:r>
      <w:bookmarkStart w:id="396" w:name="xdx_904_ecustom--ProvisionForAccountsRec"/>
      <w:bookmarkEnd w:id="396"/>
      <w:r>
        <w:rPr>
          <w:rFonts w:ascii="Times New Roman;Times;Serif" w:hAnsi="Times New Roman;Times;Serif"/>
          <w:b w:val="false"/>
          <w:i w:val="false"/>
          <w:caps w:val="false"/>
          <w:smallCaps w:val="false"/>
          <w:sz w:val="20"/>
        </w:rPr>
        <w:t>11,565 and RMB</w:t>
      </w:r>
      <w:bookmarkStart w:id="397" w:name="xdx_902_ecustom--ProvisionForAccountsRec"/>
      <w:bookmarkEnd w:id="397"/>
      <w:r>
        <w:rPr>
          <w:rFonts w:ascii="Times New Roman;Times;Serif" w:hAnsi="Times New Roman;Times;Serif"/>
          <w:b w:val="false"/>
          <w:i w:val="false"/>
          <w:caps w:val="false"/>
          <w:smallCaps w:val="false"/>
          <w:sz w:val="20"/>
        </w:rPr>
        <w:t>1,792, respectively in general and administrative expenses. As of December 31, 2025 and June 30, 2026, the expected credit loss provision for the accounts and notes receivable and other receivables is RMB</w:t>
      </w:r>
      <w:bookmarkStart w:id="398" w:name="xdx_90F_eus-gaap--FinancingReceivableAll"/>
      <w:bookmarkEnd w:id="398"/>
      <w:r>
        <w:rPr>
          <w:rFonts w:ascii="Times New Roman;Times;Serif" w:hAnsi="Times New Roman;Times;Serif"/>
          <w:b w:val="false"/>
          <w:i w:val="false"/>
          <w:caps w:val="false"/>
          <w:smallCaps w:val="false"/>
          <w:sz w:val="20"/>
        </w:rPr>
        <w:t>6,750 and RMB</w:t>
      </w:r>
      <w:bookmarkStart w:id="399" w:name="xdx_902_eus-gaap--FinancingReceivableAll"/>
      <w:bookmarkEnd w:id="399"/>
      <w:r>
        <w:rPr>
          <w:rFonts w:ascii="Times New Roman;Times;Serif" w:hAnsi="Times New Roman;Times;Serif"/>
          <w:b w:val="false"/>
          <w:i w:val="false"/>
          <w:caps w:val="false"/>
          <w:smallCaps w:val="false"/>
          <w:sz w:val="20"/>
        </w:rPr>
        <w:t>5,334, respectively. The decrease is primarily attributable to the reversal of allowance for expected credit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400" w:name="xdx_898_eus-gaap--AllowanceForCreditLoss"/>
      <w:bookmarkEnd w:id="400"/>
      <w:r>
        <w:rPr>
          <w:rFonts w:ascii="Times New Roman;Times;Serif" w:hAnsi="Times New Roman;Times;Serif"/>
          <w:b w:val="false"/>
          <w:i w:val="false"/>
          <w:caps w:val="false"/>
          <w:smallCaps w:val="false"/>
          <w:sz w:val="20"/>
        </w:rPr>
        <w:t>The following table summarizes the activity in the allowance for credit losses related to accounts and notes receivable and other receivables from related parties for the six months ended June 30, 2025, and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01" w:name="xdx_8B3_z04Ta9QP9xd2"/>
      <w:bookmarkEnd w:id="401"/>
      <w:r>
        <w:rPr>
          <w:rFonts w:ascii="Times New Roman;Times;Serif" w:hAnsi="Times New Roman;Times;Serif"/>
          <w:b w:val="false"/>
          <w:i w:val="false"/>
          <w:caps w:val="false"/>
          <w:smallCaps w:val="false"/>
          <w:sz w:val="20"/>
        </w:rPr>
        <w:t>SCHEDULE OF ACTIVITY IN ALLOWANCE FOR CREDIT LOSSES RELATED TO ACCOUNTS AND NOTES RECEIVABLE AND OTHER RECEIVABLES FROM RELATED PARTIES</w:t>
      </w:r>
    </w:p>
    <w:tbl>
      <w:tblPr>
        <w:tblW w:w="5263" w:type="dxa"/>
        <w:jc w:val="left"/>
        <w:tblInd w:w="0" w:type="dxa"/>
        <w:tblLayout w:type="fixed"/>
        <w:tblCellMar>
          <w:top w:w="0" w:type="dxa"/>
          <w:left w:w="0" w:type="dxa"/>
          <w:bottom w:w="0" w:type="dxa"/>
          <w:right w:w="0" w:type="dxa"/>
        </w:tblCellMar>
      </w:tblPr>
      <w:tblGrid>
        <w:gridCol w:w="2855"/>
        <w:gridCol w:w="60"/>
        <w:gridCol w:w="96"/>
        <w:gridCol w:w="953"/>
        <w:gridCol w:w="129"/>
        <w:gridCol w:w="96"/>
        <w:gridCol w:w="96"/>
        <w:gridCol w:w="883"/>
        <w:gridCol w:w="95"/>
      </w:tblGrid>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2" w:name="xdx_988_eus-gaap--FinancingReceivableAll"/>
            <w:bookmarkEnd w:id="402"/>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10,965</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3" w:name="xdx_989_eus-gaap--FinancingReceivableAll"/>
            <w:bookmarkEnd w:id="403"/>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period provision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4" w:name="xdx_98B_eus-gaap--ProvisionForLoanLosses"/>
            <w:bookmarkEnd w:id="404"/>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11,874</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5" w:name="xdx_988_eus-gaap--ProvisionForLoanLosses"/>
            <w:bookmarkEnd w:id="405"/>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6" w:name="xdx_98F_eus-gaap--FinancingReceivableAll"/>
            <w:bookmarkEnd w:id="406"/>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7" w:name="xdx_980_eus-gaap--FinancingReceivableAll"/>
            <w:bookmarkEnd w:id="407"/>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off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08" w:name="xdx_983_eus-gaap--FinancingReceivableAll"/>
            <w:bookmarkEnd w:id="408"/>
          </w:p>
        </w:tc>
        <w:tc>
          <w:tcPr>
            <w:tcW w:w="9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09" w:name="xdx_983_eus-gaap--FinancingReceivableAll"/>
            <w:bookmarkEnd w:id="409"/>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10" w:name="xdx_988_eus-gaap--FinancingReceivableAll"/>
            <w:bookmarkEnd w:id="410"/>
          </w:p>
        </w:tc>
        <w:tc>
          <w:tcPr>
            <w:tcW w:w="9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20,447</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11" w:name="xdx_988_eus-gaap--FinancingReceivableAll"/>
            <w:bookmarkEnd w:id="411"/>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412" w:name="xdx_8A0_zTNUXhHMrTve"/>
      <w:bookmarkEnd w:id="412"/>
      <w:r>
        <w:rPr>
          <w:caps w:val="false"/>
          <w:smallCaps w:val="false"/>
        </w:rPr>
        <w:t> </w:t>
      </w:r>
    </w:p>
    <w:p>
      <w:pPr>
        <w:pStyle w:val="TextBody"/>
        <w:bidi w:val="0"/>
        <w:spacing w:before="0" w:after="0"/>
        <w:ind w:left="0" w:right="0" w:hanging="0"/>
        <w:jc w:val="left"/>
        <w:rPr>
          <w:caps w:val="false"/>
          <w:smallCaps w:val="false"/>
        </w:rPr>
      </w:pPr>
      <w:bookmarkStart w:id="413" w:name="xdx_848_eus-gaap--IncomeTaxPolicyTextBlo"/>
      <w:bookmarkEnd w:id="413"/>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15"/>
        <w:gridCol w:w="1130"/>
      </w:tblGrid>
      <w:tr>
        <w:trPr/>
        <w:tc>
          <w:tcPr>
            <w:tcW w:w="21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130" w:type="dxa"/>
            <w:tcBorders/>
            <w:vAlign w:val="center"/>
          </w:tcPr>
          <w:p>
            <w:pPr>
              <w:pStyle w:val="TableContents"/>
              <w:bidi w:val="0"/>
              <w:spacing w:before="0" w:after="283"/>
              <w:jc w:val="both"/>
              <w:rPr>
                <w:rFonts w:ascii="Times New Roman;Times;Serif" w:hAnsi="Times New Roman;Times;Serif"/>
                <w:b/>
                <w:i/>
                <w:caps w:val="false"/>
                <w:smallCaps w:val="false"/>
                <w:sz w:val="20"/>
              </w:rPr>
            </w:pPr>
            <w:bookmarkStart w:id="414" w:name="xdx_866_z9EDcvlXHcNb"/>
            <w:bookmarkEnd w:id="414"/>
            <w:r>
              <w:rPr>
                <w:rFonts w:ascii="Times New Roman;Times;Serif" w:hAnsi="Times New Roman;Times;Serif"/>
                <w:b/>
                <w:i/>
                <w:caps w:val="false"/>
                <w:smallCaps w:val="false"/>
                <w:sz w:val="20"/>
              </w:rPr>
              <w:t>Income taxes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income (loss) in the period of change. A valuation allowance is provided to reduce the amount of deferred tax assets if it is considered more likely than not that some portion of, or all of the deferred tax assets will not be realized.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Uncertain tax position</w:t>
      </w:r>
      <w:r>
        <w:rPr>
          <w:rFonts w:ascii="Times New Roman;Times;Serif" w:hAnsi="Times New Roman;Times;Serif"/>
          <w:b w:val="false"/>
          <w:i w:val="false"/>
          <w:caps w:val="false"/>
          <w:smallCaps w:val="false"/>
          <w:sz w:val="20"/>
        </w:rPr>
        <w: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guidance on accounting for uncertainties in income taxes prescribes a more likely than not threshold for financial statement recognition and measurement of a tax position taken or expected to be taken in a tax return. Guidance was also provided on the 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consolidated statements of comprehensive income (loss). The Group did not recognize any interest and penalties associated with uncertain tax positions for the six months ended June 30, 2025 and 2026. As of December 31, 2025 and June 30, 2026, the Group did </w:t>
      </w:r>
      <w:bookmarkStart w:id="415" w:name="xdx_903_eus-gaap--UnrecognizedTaxBenefit"/>
      <w:bookmarkStart w:id="416" w:name="xdx_90B_eus-gaap--UnrecognizedTaxBenefit"/>
      <w:bookmarkEnd w:id="415"/>
      <w:bookmarkEnd w:id="416"/>
      <w:r>
        <w:rPr>
          <w:rFonts w:ascii="Times New Roman;Times;Serif" w:hAnsi="Times New Roman;Times;Serif"/>
          <w:b w:val="false"/>
          <w:i w:val="false"/>
          <w:caps w:val="false"/>
          <w:smallCaps w:val="false"/>
          <w:sz w:val="20"/>
        </w:rPr>
        <w:t>not have any significant unrecognized uncertain tax positions.</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color w:val="0000EE"/>
        </w:rPr>
      </w:pPr>
      <w:r>
        <w:rPr>
          <w:caps w:val="false"/>
          <w:smallCaps w:val="false"/>
          <w:color w:val="0000E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 (Continued)</w:t>
            </w:r>
          </w:p>
        </w:tc>
      </w:tr>
    </w:tbl>
    <w:p>
      <w:pPr>
        <w:pStyle w:val="TextBody"/>
        <w:bidi w:val="0"/>
        <w:spacing w:before="0" w:after="0"/>
        <w:ind w:left="0" w:right="0" w:hanging="0"/>
        <w:jc w:val="left"/>
        <w:rPr>
          <w:caps w:val="false"/>
          <w:smallCaps w:val="false"/>
        </w:rPr>
      </w:pPr>
      <w:bookmarkStart w:id="417" w:name="xdx_84D_ecustom--StatutoryReservesPolicy"/>
      <w:bookmarkEnd w:id="417"/>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15"/>
        <w:gridCol w:w="1505"/>
      </w:tblGrid>
      <w:tr>
        <w:trPr/>
        <w:tc>
          <w:tcPr>
            <w:tcW w:w="21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w:t>
            </w:r>
          </w:p>
        </w:tc>
        <w:tc>
          <w:tcPr>
            <w:tcW w:w="1505" w:type="dxa"/>
            <w:tcBorders/>
            <w:vAlign w:val="center"/>
          </w:tcPr>
          <w:p>
            <w:pPr>
              <w:pStyle w:val="TableContents"/>
              <w:bidi w:val="0"/>
              <w:spacing w:before="0" w:after="283"/>
              <w:jc w:val="both"/>
              <w:rPr>
                <w:rFonts w:ascii="Times New Roman;Times;Serif" w:hAnsi="Times New Roman;Times;Serif"/>
                <w:b/>
                <w:i/>
                <w:caps w:val="false"/>
                <w:smallCaps w:val="false"/>
                <w:sz w:val="20"/>
              </w:rPr>
            </w:pPr>
            <w:bookmarkStart w:id="418" w:name="xdx_861_zPhUR8ZggEq7"/>
            <w:bookmarkEnd w:id="418"/>
            <w:r>
              <w:rPr>
                <w:rFonts w:ascii="Times New Roman;Times;Serif" w:hAnsi="Times New Roman;Times;Serif"/>
                <w:b/>
                <w:i/>
                <w:caps w:val="false"/>
                <w:smallCaps w:val="false"/>
                <w:sz w:val="20"/>
              </w:rPr>
              <w:t>Statutory reserves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and VIEs established in the PRC are required to make appropriations to certain non-distributable reserve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laws applicable to the Foreign Investment Enterprises established in the PRC, the Company’s subsidiaries registered as wholly-owned foreign enterprise have to make appropriations from their annual after-tax profits (as determined under generally accepted accounting principles in the PRC (“PRC GAAP) to reserve funds including general reserve fund, enterprise expansion fund and staff bonus and welfare fund. The appropriation to the general reserve fund must be at least 10% of the annual after-tax profits calculated in accordance with PRC GAAP. Appropriation is not required if the general reserve fund has reached 50% of the registered capital of the company. Appropriations to the enterprise expansion fund and staff bonus and welfare fund are made at the respective company’s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accordance with the PRC Company Laws, the Group’s VIEs registered as Chinese domestic company must make appropriations from its annual after-tax profits as determined under the PRC GAAP to non-distributable reserve funds including statutory surplus fund and discretionary surplus fund. The appropriation to the statutory surplus fund must be 10% of the annual after-tax profits as determined under PRC GAAP. Appropriation is not required if the statutory surplus fund has reached 50% of the registered capital of the company. Appropriation to the discretionary surplus fund is made at the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general reserve fund, enterprise expansion fund, statutory surplus fund and discretionary surplus fund are restricted to offsetting of losses or increasing of the registered capital of the respective company. The staff bonus and welfare fund are a liability in nature and is restricted to fund payments of special bonus to employees and for the collective welfare of all employees. None of these reserves are allowed to be transferred to the Company in terms of cash dividends, loans or advances, nor can they be distributed except under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appropriations to statutory reserve funds amounted to </w:t>
      </w:r>
      <w:bookmarkStart w:id="419" w:name="xdx_902_ecustom--StatutoryReserveFunds_p"/>
      <w:bookmarkEnd w:id="419"/>
      <w:r>
        <w:rPr>
          <w:rFonts w:ascii="Times New Roman;Times;Serif" w:hAnsi="Times New Roman;Times;Serif"/>
          <w:b w:val="false"/>
          <w:i w:val="false"/>
          <w:caps w:val="false"/>
          <w:smallCaps w:val="false"/>
          <w:sz w:val="20"/>
        </w:rPr>
        <w:t>nil and RMB</w:t>
      </w:r>
      <w:bookmarkStart w:id="420" w:name="xdx_905_ecustom--StatutoryReserveFunds_p"/>
      <w:bookmarkEnd w:id="420"/>
      <w:r>
        <w:rPr>
          <w:rFonts w:ascii="Times New Roman;Times;Serif" w:hAnsi="Times New Roman;Times;Serif"/>
          <w:b w:val="false"/>
          <w:i w:val="false"/>
          <w:caps w:val="false"/>
          <w:smallCaps w:val="false"/>
          <w:sz w:val="20"/>
        </w:rPr>
        <w:t>3 during the six months ended June 30, 2025 and 2026. Statutory reserve funds amounting to RMB</w:t>
      </w:r>
      <w:bookmarkStart w:id="421" w:name="xdx_90E_ecustom--AccumulatedStatutoryRes"/>
      <w:bookmarkEnd w:id="421"/>
      <w:r>
        <w:rPr>
          <w:rFonts w:ascii="Times New Roman;Times;Serif" w:hAnsi="Times New Roman;Times;Serif"/>
          <w:b w:val="false"/>
          <w:i w:val="false"/>
          <w:caps w:val="false"/>
          <w:smallCaps w:val="false"/>
          <w:sz w:val="20"/>
        </w:rPr>
        <w:t>39,010 and RMB</w:t>
      </w:r>
      <w:bookmarkStart w:id="422" w:name="xdx_90E_ecustom--AccumulatedStatutoryRes"/>
      <w:bookmarkEnd w:id="422"/>
      <w:r>
        <w:rPr>
          <w:rFonts w:ascii="Times New Roman;Times;Serif" w:hAnsi="Times New Roman;Times;Serif"/>
          <w:b w:val="false"/>
          <w:i w:val="false"/>
          <w:caps w:val="false"/>
          <w:smallCaps w:val="false"/>
          <w:sz w:val="20"/>
        </w:rPr>
        <w:t>39,013 were recognized in additional paid-in capital as of December 31, 2025 and June 30, 2026, respectively.</w:t>
      </w:r>
    </w:p>
    <w:p>
      <w:pPr>
        <w:pStyle w:val="TextBody"/>
        <w:bidi w:val="0"/>
        <w:spacing w:before="0" w:after="0"/>
        <w:ind w:left="0" w:right="0" w:hanging="0"/>
        <w:jc w:val="left"/>
        <w:rPr>
          <w:caps w:val="false"/>
          <w:smallCaps w:val="false"/>
        </w:rPr>
      </w:pPr>
      <w:bookmarkStart w:id="423" w:name="xdx_848_eus-gaap--EarningsPerSharePolicy"/>
      <w:bookmarkEnd w:id="423"/>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60"/>
        <w:gridCol w:w="200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w:t>
            </w:r>
          </w:p>
        </w:tc>
        <w:tc>
          <w:tcPr>
            <w:tcW w:w="2000" w:type="dxa"/>
            <w:tcBorders/>
            <w:vAlign w:val="center"/>
          </w:tcPr>
          <w:p>
            <w:pPr>
              <w:pStyle w:val="TableContents"/>
              <w:bidi w:val="0"/>
              <w:spacing w:before="0" w:after="283"/>
              <w:jc w:val="both"/>
              <w:rPr>
                <w:rFonts w:ascii="Times New Roman;Times;Serif" w:hAnsi="Times New Roman;Times;Serif"/>
                <w:b/>
                <w:i/>
                <w:caps w:val="false"/>
                <w:smallCaps w:val="false"/>
                <w:sz w:val="20"/>
              </w:rPr>
            </w:pPr>
            <w:bookmarkStart w:id="424" w:name="xdx_863_zHOzoZYmSyTe"/>
            <w:bookmarkEnd w:id="424"/>
            <w:r>
              <w:rPr>
                <w:rFonts w:ascii="Times New Roman;Times;Serif" w:hAnsi="Times New Roman;Times;Serif"/>
                <w:b/>
                <w:i/>
                <w:caps w:val="false"/>
                <w:smallCaps w:val="false"/>
                <w:sz w:val="20"/>
              </w:rPr>
              <w:t>Income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(loss) per share is computed by dividing net income (loss) attributable to ordinary shareholders by the weighted average number of ordinary shares outstanding during the period using the two-class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the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(loss) per share is calculated by dividing net income (loss) attributable to ordinary shareholders, as adjusted for the effect of dilutive ordinary equivalent shares, if any, by the weighted average number of ordinary and dilutive ordinary equivalent shares outstanding during the period. Ordinary equivalent shares consist of ordinary shares issuable upon the exercise of share options using the treasury stock method. Ordinary equivalent shares are not included in the denominator of the diluted loss per share calculation when inclusion of such shares would be anti-dilutive.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color w:val="0000EE"/>
        </w:rPr>
      </w:pPr>
      <w:r>
        <w:rPr>
          <w:caps w:val="false"/>
          <w:smallCaps w:val="false"/>
          <w:color w:val="0000E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 (Continued)</w:t>
            </w:r>
          </w:p>
        </w:tc>
      </w:tr>
    </w:tbl>
    <w:p>
      <w:pPr>
        <w:pStyle w:val="TextBody"/>
        <w:bidi w:val="0"/>
        <w:spacing w:before="0" w:after="0"/>
        <w:ind w:left="0" w:right="0" w:hanging="0"/>
        <w:jc w:val="left"/>
        <w:rPr>
          <w:caps w:val="false"/>
          <w:smallCaps w:val="false"/>
        </w:rPr>
      </w:pPr>
      <w:bookmarkStart w:id="425" w:name="xdx_842_eus-gaap--NewAccountingPronounce"/>
      <w:bookmarkEnd w:id="425"/>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15"/>
        <w:gridCol w:w="3695"/>
      </w:tblGrid>
      <w:tr>
        <w:trPr/>
        <w:tc>
          <w:tcPr>
            <w:tcW w:w="21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w:t>
            </w:r>
          </w:p>
        </w:tc>
        <w:tc>
          <w:tcPr>
            <w:tcW w:w="3695" w:type="dxa"/>
            <w:tcBorders/>
            <w:vAlign w:val="center"/>
          </w:tcPr>
          <w:p>
            <w:pPr>
              <w:pStyle w:val="TableContents"/>
              <w:bidi w:val="0"/>
              <w:spacing w:before="0" w:after="283"/>
              <w:jc w:val="both"/>
              <w:rPr>
                <w:rFonts w:ascii="Times New Roman;Times;Serif" w:hAnsi="Times New Roman;Times;Serif"/>
                <w:b/>
                <w:i/>
                <w:caps w:val="false"/>
                <w:smallCaps w:val="false"/>
                <w:sz w:val="20"/>
              </w:rPr>
            </w:pPr>
            <w:bookmarkStart w:id="426" w:name="xdx_863_zyxEJVjoekZ"/>
            <w:bookmarkEnd w:id="426"/>
            <w:r>
              <w:rPr>
                <w:rFonts w:ascii="Times New Roman;Times;Serif" w:hAnsi="Times New Roman;Times;Serif"/>
                <w:b/>
                <w:i/>
                <w:caps w:val="false"/>
                <w:smallCaps w:val="false"/>
                <w:sz w:val="20"/>
              </w:rPr>
              <w:t>Recently issued accounting pronouncements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adopted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The Group adopted ASU No. 2023-09 from the annual period beginning from January 1, 2025. The adoption of this standard did not have a material impact to its unaudited condensed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The Group adopted this guidance effective January 1, 2026. The adoption of this standard did not have a material impact to its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This ASU requires entities to 1. disclose amounts of (a) purchase of inventory, (b) employee compensation, (c) depreciation, (d) intangible asset amortization, and, (e) depreciation, depletion, and amortization recognized as part of oil-and gas-producing activities, 2. include certain amounts that are already required to be disclosed under current Generally Accepted Accounting Principles in the same disclosures as other disaggregation requirements, 3. disclose a qualitative description of the amounts remaining in relevant expense captions that are not necessarily disaggregated quantitatively, and 4. disclose the total amount of selling expenses, in annual reporting periods, an entity’s definition of selling expense. The ASU is effective for annual reporting periods beginning after December 15, 2026 and interim reporting periods beginning after December 15, 2027. Additionally, in January 2025, the FASB issued ASU No.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Group plans to adopt this guidance effective January 1, 2027 and the Group is currently evaluating the impact of adopting this ASU on its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FASB issued ASU 2025-08, Financial Instruments—Credit Losses (Topic 326): Purchased Loans (ASU 2025-08). The amendments expand the population of acquired loans subject to the gross-up approach, treating non-credit-deteriorated loans (excluding credit cards) as “seasoned” if purchased at least 90 days after origination or acquired in a business combination. ASU 2025-08 is effective for annual reporting periods beginning after December 15, 2026 and interim reporting periods within those annual reporting periods, and the Group is currently evaluating the impact of adopting this ASU on its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Accounting for Government Grants Received by Business Entities (ASU 2025-10), introducing U.S. GAAP guidance on the accounting for government grants for business entities. The new standard closely aligns with International Accounting Standard (IAS) 20, Accounting for Government Grants and Disclosure of Government Assistance, covering monetary and tangible nonmonetary assets received from governments while excluding exchange transactions. ASU 2025-10 is effective for annual periods beginning after December 15, 2028 (including interim periods within) and one year later for all other entities, with early adoption permitted. The Group is currently evaluating the impact of adopting this ASU on its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issued ASUs by the FASB, except for the ones mentioned above, are not expected to have a significant impact on the Group’s unaudited condensed consolidated results of operations or financial position. Other accounting standards that have been issued or proposed by FASB that do not require adoption until a future date are not expected to have a material impact on the unaudited condensed consolidated financial statements upon adoption. The Group does not discuss recent pronouncements that are not anticipated to have an impact on or are unrelated to its unaudited condensed consolidated financial condition, results of operations, cash flows, or disclosures.</w:t>
      </w:r>
    </w:p>
    <w:p>
      <w:pPr>
        <w:pStyle w:val="TextBody"/>
        <w:bidi w:val="0"/>
        <w:spacing w:before="0" w:after="0"/>
        <w:ind w:left="0" w:right="0" w:hanging="0"/>
        <w:jc w:val="left"/>
        <w:rPr>
          <w:caps w:val="false"/>
          <w:smallCaps w:val="false"/>
        </w:rPr>
      </w:pPr>
      <w:bookmarkStart w:id="427" w:name="xdx_85C_zsAd26zR7ark"/>
      <w:bookmarkEnd w:id="4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720" w:right="0" w:hanging="720"/>
        <w:jc w:val="left"/>
        <w:rPr>
          <w:caps w:val="false"/>
          <w:smallCaps w:val="false"/>
        </w:rPr>
      </w:pPr>
      <w:bookmarkStart w:id="428" w:name="xdx_809_eus-gaap--ConcentrationRiskDiscl"/>
      <w:bookmarkEnd w:id="428"/>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85"/>
        <w:gridCol w:w="28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8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29" w:name="xdx_82C_zChvgZgnOiV4"/>
            <w:bookmarkEnd w:id="429"/>
            <w:r>
              <w:rPr>
                <w:rFonts w:ascii="Times New Roman;Times;Serif" w:hAnsi="Times New Roman;Times;Serif"/>
                <w:b/>
                <w:i w:val="false"/>
                <w:caps w:val="false"/>
                <w:smallCaps w:val="false"/>
                <w:sz w:val="20"/>
              </w:rPr>
              <w:t>CONCENTRATION AND RISKS</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60"/>
        <w:gridCol w:w="19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91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revenues and expenses of the Group’s entities in the PRC are generally denominated in RMB and their assets and liabilities are denominated in RMB. The RMB is not freely convertible into foreign currencies. Remittances of foreign currencies into the PRC or remittances of RMB out of the PRC as well as exchange between RMB and foreign currencies require approval by foreign exchange administrative authorities and certain supporting documentation. The State Administration for Foreign Exchange, under the authority of the People’s Bank of China, controls the conversion of RMB into other currencies.</w:t>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60"/>
        <w:gridCol w:w="92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92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Group to credit risk consist primarily of cash and cash equivalents, restricted cash, short-term investments, short-term and long-term deposits, accounts and notes receivable and amounts due from related parties. The Group places its cash and cash equivalents, restricted cash, short-term investments and short-term deposits with financial institutions with high credit ratings and quality. There has been no recent history of default in relation to these financial institutions and credit risk is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conducts credit evaluations of third-party customers and related parties, and generally does not require collateral or other security from its third-party customers and related parties. The Group establishes an allowance for credit losses primarily based upon the age of the receivables and factors surrounding the credit risk of specific third-party customers and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430" w:name="xdx_89C_eus-gaap--SchedulesOfConcentrati"/>
      <w:bookmarkEnd w:id="430"/>
      <w:r>
        <w:rPr>
          <w:rFonts w:ascii="Times New Roman;Times;Serif" w:hAnsi="Times New Roman;Times;Serif"/>
          <w:b w:val="false"/>
          <w:i w:val="false"/>
          <w:caps w:val="false"/>
          <w:smallCaps w:val="false"/>
          <w:sz w:val="20"/>
        </w:rPr>
        <w:t>Concentration risk of accounts and notes receivable from third parties are presented as below:</w:t>
      </w:r>
    </w:p>
    <w:p>
      <w:pPr>
        <w:pStyle w:val="TextBody"/>
        <w:bidi w:val="0"/>
        <w:spacing w:before="0" w:after="0"/>
        <w:ind w:left="720" w:right="0" w:hanging="0"/>
        <w:jc w:val="left"/>
        <w:rPr>
          <w:caps w:val="false"/>
          <w:smallCaps w:val="false"/>
        </w:rPr>
      </w:pPr>
      <w:r>
        <w:rPr>
          <w:caps w:val="false"/>
          <w:smallCaps w:val="false"/>
        </w:rPr>
        <w:t> </w:t>
      </w:r>
      <w:bookmarkStart w:id="431" w:name="xdx_8B1_z4okAWNDVDgg"/>
      <w:bookmarkEnd w:id="431"/>
      <w:r>
        <w:rPr>
          <w:rFonts w:ascii="Times New Roman;Times;Serif" w:hAnsi="Times New Roman;Times;Serif"/>
          <w:b w:val="false"/>
          <w:i w:val="false"/>
          <w:caps w:val="false"/>
          <w:smallCaps w:val="false"/>
          <w:sz w:val="20"/>
        </w:rPr>
        <w:t>SUMMARY OF CONCENTRATION OF RISK </w:t>
      </w:r>
    </w:p>
    <w:tbl>
      <w:tblPr>
        <w:tblW w:w="4336" w:type="dxa"/>
        <w:jc w:val="left"/>
        <w:tblInd w:w="0" w:type="dxa"/>
        <w:tblLayout w:type="fixed"/>
        <w:tblCellMar>
          <w:top w:w="0" w:type="dxa"/>
          <w:left w:w="0" w:type="dxa"/>
          <w:bottom w:w="0" w:type="dxa"/>
          <w:right w:w="0" w:type="dxa"/>
        </w:tblCellMar>
      </w:tblPr>
      <w:tblGrid>
        <w:gridCol w:w="1010"/>
        <w:gridCol w:w="60"/>
        <w:gridCol w:w="92"/>
        <w:gridCol w:w="912"/>
        <w:gridCol w:w="92"/>
        <w:gridCol w:w="92"/>
        <w:gridCol w:w="92"/>
        <w:gridCol w:w="355"/>
        <w:gridCol w:w="185"/>
        <w:gridCol w:w="60"/>
        <w:gridCol w:w="74"/>
        <w:gridCol w:w="604"/>
        <w:gridCol w:w="74"/>
        <w:gridCol w:w="74"/>
        <w:gridCol w:w="74"/>
        <w:gridCol w:w="286"/>
        <w:gridCol w:w="200"/>
      </w:tblGrid>
      <w:tr>
        <w:trPr/>
        <w:tc>
          <w:tcPr>
            <w:tcW w:w="10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447"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36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gridSpan w:val="6"/>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2" w:name="xdx_98C_eus-gaap--AccountsAndNotesReceiv"/>
            <w:bookmarkEnd w:id="432"/>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16,070</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3" w:name="xdx_987_eus-gaap--ConcentrationRiskPerce"/>
            <w:bookmarkEnd w:id="433"/>
          </w:p>
        </w:tc>
        <w:tc>
          <w:tcPr>
            <w:tcW w:w="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4" w:name="xdx_982_eus-gaap--AccountsAndNotesReceiv"/>
            <w:bookmarkEnd w:id="434"/>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9,174</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5" w:name="xdx_98A_eus-gaap--ConcentrationRiskPerce"/>
            <w:bookmarkEnd w:id="435"/>
          </w:p>
        </w:tc>
        <w:tc>
          <w:tcPr>
            <w:tcW w:w="2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6" w:name="xdx_982_eus-gaap--AccountsAndNotesReceiv"/>
            <w:bookmarkEnd w:id="436"/>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6,004</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7" w:name="xdx_985_eus-gaap--ConcentrationRiskPerce"/>
            <w:bookmarkEnd w:id="437"/>
          </w:p>
        </w:tc>
        <w:tc>
          <w:tcPr>
            <w:tcW w:w="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8" w:name="xdx_981_eus-gaap--AccountsAndNotesReceiv"/>
            <w:bookmarkEnd w:id="438"/>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6,237</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9" w:name="xdx_986_eus-gaap--ConcentrationRiskPerce"/>
            <w:bookmarkEnd w:id="439"/>
          </w:p>
        </w:tc>
        <w:tc>
          <w:tcPr>
            <w:tcW w:w="2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risk of accounts receivable from related parties are presented as below:</w:t>
      </w:r>
    </w:p>
    <w:p>
      <w:pPr>
        <w:pStyle w:val="TextBody"/>
        <w:bidi w:val="0"/>
        <w:spacing w:before="0" w:after="0"/>
        <w:ind w:left="72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1175"/>
        <w:gridCol w:w="60"/>
        <w:gridCol w:w="84"/>
        <w:gridCol w:w="978"/>
        <w:gridCol w:w="84"/>
        <w:gridCol w:w="84"/>
        <w:gridCol w:w="84"/>
        <w:gridCol w:w="323"/>
        <w:gridCol w:w="185"/>
        <w:gridCol w:w="60"/>
        <w:gridCol w:w="61"/>
        <w:gridCol w:w="709"/>
        <w:gridCol w:w="61"/>
        <w:gridCol w:w="61"/>
        <w:gridCol w:w="61"/>
        <w:gridCol w:w="234"/>
        <w:gridCol w:w="200"/>
      </w:tblGrid>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407" w:type="dxa"/>
            <w:gridSpan w:val="2"/>
            <w:tcBorders/>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7" w:type="dxa"/>
            <w:gridSpan w:val="6"/>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Xiaomi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0" w:name="xdx_98C_eus-gaap--AccountsReceivableNet_"/>
            <w:bookmarkEnd w:id="440"/>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304,078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1" w:name="xdx_985_eus-gaap--ConcentrationRiskPerce"/>
            <w:bookmarkEnd w:id="441"/>
          </w:p>
        </w:tc>
        <w:tc>
          <w:tcPr>
            <w:tcW w:w="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2" w:name="xdx_981_eus-gaap--AccountsReceivableNet_"/>
            <w:bookmarkEnd w:id="442"/>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366,158</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3" w:name="xdx_981_eus-gaap--ConcentrationRiskPerce"/>
            <w:bookmarkEnd w:id="443"/>
          </w:p>
        </w:tc>
        <w:tc>
          <w:tcPr>
            <w:tcW w:w="2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Viomi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4" w:name="xdx_981_eus-gaap--AccountsReceivableNet_"/>
            <w:bookmarkEnd w:id="444"/>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36,095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5" w:name="xdx_98E_eus-gaap--ConcentrationRiskPerce"/>
            <w:bookmarkEnd w:id="445"/>
          </w:p>
        </w:tc>
        <w:tc>
          <w:tcPr>
            <w:tcW w:w="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6" w:name="xdx_984_eus-gaap--AccountsReceivableNet_"/>
            <w:bookmarkEnd w:id="446"/>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23,760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7" w:name="xdx_989_eus-gaap--ConcentrationRiskPerce"/>
            <w:bookmarkEnd w:id="447"/>
          </w:p>
        </w:tc>
        <w:tc>
          <w:tcPr>
            <w:tcW w:w="2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risk of other receivables from related parties are presented as below:</w:t>
      </w:r>
    </w:p>
    <w:p>
      <w:pPr>
        <w:pStyle w:val="TextBody"/>
        <w:bidi w:val="0"/>
        <w:spacing w:before="0" w:after="0"/>
        <w:ind w:left="720" w:right="0" w:hanging="0"/>
        <w:jc w:val="left"/>
        <w:rPr>
          <w:caps w:val="false"/>
          <w:smallCaps w:val="false"/>
        </w:rPr>
      </w:pPr>
      <w:r>
        <w:rPr>
          <w:caps w:val="false"/>
          <w:smallCaps w:val="false"/>
        </w:rPr>
        <w:t> </w:t>
      </w:r>
    </w:p>
    <w:tbl>
      <w:tblPr>
        <w:tblW w:w="3966" w:type="dxa"/>
        <w:jc w:val="left"/>
        <w:tblInd w:w="0" w:type="dxa"/>
        <w:tblLayout w:type="fixed"/>
        <w:tblCellMar>
          <w:top w:w="0" w:type="dxa"/>
          <w:left w:w="0" w:type="dxa"/>
          <w:bottom w:w="0" w:type="dxa"/>
          <w:right w:w="0" w:type="dxa"/>
        </w:tblCellMar>
      </w:tblPr>
      <w:tblGrid>
        <w:gridCol w:w="635"/>
        <w:gridCol w:w="60"/>
        <w:gridCol w:w="108"/>
        <w:gridCol w:w="603"/>
        <w:gridCol w:w="108"/>
        <w:gridCol w:w="108"/>
        <w:gridCol w:w="108"/>
        <w:gridCol w:w="603"/>
        <w:gridCol w:w="185"/>
        <w:gridCol w:w="60"/>
        <w:gridCol w:w="78"/>
        <w:gridCol w:w="438"/>
        <w:gridCol w:w="78"/>
        <w:gridCol w:w="78"/>
        <w:gridCol w:w="78"/>
        <w:gridCol w:w="438"/>
        <w:gridCol w:w="200"/>
      </w:tblGrid>
      <w:tr>
        <w:trPr/>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gridSpan w:val="2"/>
            <w:tcBorders/>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516"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6"/>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Xiaomi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8" w:name="xdx_986_eus-gaap--OtherReceivables_iI_pn"/>
            <w:bookmarkEnd w:id="448"/>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9" w:name="xdx_986_eus-gaap--ConcentrationRiskPerce"/>
            <w:bookmarkEnd w:id="449"/>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0" w:name="xdx_98B_eus-gaap--OtherReceivables_iI_pn"/>
            <w:bookmarkEnd w:id="450"/>
          </w:p>
        </w:tc>
        <w:tc>
          <w:tcPr>
            <w:tcW w:w="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1" w:name="xdx_98C_eus-gaap--ConcentrationRiskPerce"/>
            <w:bookmarkEnd w:id="451"/>
          </w:p>
        </w:tc>
        <w:tc>
          <w:tcPr>
            <w:tcW w:w="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3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23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concentration risk</w:t>
            </w:r>
          </w:p>
        </w:tc>
      </w:tr>
    </w:tbl>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635"/>
        <w:gridCol w:w="60"/>
        <w:gridCol w:w="60"/>
        <w:gridCol w:w="845"/>
        <w:gridCol w:w="60"/>
        <w:gridCol w:w="60"/>
        <w:gridCol w:w="60"/>
        <w:gridCol w:w="230"/>
        <w:gridCol w:w="185"/>
        <w:gridCol w:w="60"/>
        <w:gridCol w:w="60"/>
        <w:gridCol w:w="695"/>
        <w:gridCol w:w="60"/>
        <w:gridCol w:w="60"/>
        <w:gridCol w:w="60"/>
        <w:gridCol w:w="230"/>
        <w:gridCol w:w="200"/>
      </w:tblGrid>
      <w:tr>
        <w:trPr/>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2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Xiaomi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2" w:name="xdx_981_eus-gaap--RevenueFromContractWit"/>
            <w:bookmarkEnd w:id="452"/>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3" w:name="xdx_985_eus-gaap--ConcentrationRiskPerce"/>
            <w:bookmarkEnd w:id="453"/>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4" w:name="xdx_987_eus-gaap--RevenueFromContractWit"/>
            <w:bookmarkEnd w:id="454"/>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5" w:name="xdx_983_eus-gaap--ConcentrationRiskPerce"/>
            <w:bookmarkEnd w:id="455"/>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bookmarkStart w:id="456" w:name="xdx_8AE_zpOuHVKOKh2f"/>
      <w:bookmarkEnd w:id="456"/>
      <w:r>
        <w:rPr>
          <w:caps w:val="false"/>
          <w:smallCaps w:val="false"/>
        </w:rPr>
        <w:t> </w:t>
      </w:r>
    </w:p>
    <w:p>
      <w:pPr>
        <w:pStyle w:val="TextBody"/>
        <w:bidi w:val="0"/>
        <w:spacing w:before="0" w:after="0"/>
        <w:ind w:left="0" w:right="0" w:hanging="0"/>
        <w:jc w:val="left"/>
        <w:rPr>
          <w:caps w:val="false"/>
          <w:smallCaps w:val="false"/>
        </w:rPr>
      </w:pPr>
      <w:bookmarkStart w:id="457" w:name="xdx_803_eus-gaap--CashAndCashEquivalents"/>
      <w:bookmarkEnd w:id="457"/>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58" w:name="xdx_821_ze1mjVCNO5x4"/>
            <w:bookmarkEnd w:id="458"/>
            <w:r>
              <w:rPr>
                <w:rFonts w:ascii="Times New Roman;Times;Serif" w:hAnsi="Times New Roman;Times;Serif"/>
                <w:b/>
                <w:i w:val="false"/>
                <w:caps w:val="false"/>
                <w:smallCaps w:val="false"/>
                <w:sz w:val="20"/>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459" w:name="xdx_89A_eus-gaap--ScheduleOfCashAndCashE"/>
      <w:bookmarkEnd w:id="459"/>
      <w:r>
        <w:rPr>
          <w:rFonts w:ascii="Times New Roman;Times;Serif" w:hAnsi="Times New Roman;Times;Serif"/>
          <w:b w:val="false"/>
          <w:i w:val="false"/>
          <w:caps w:val="false"/>
          <w:smallCaps w:val="false"/>
          <w:sz w:val="20"/>
        </w:rPr>
        <w:t>Cash and cash equivalents represent cash on hand and demand deposits placed with banks or other financial institutions. Cash and cash equivalents balance as of December 31, 2025 and June 30, 2026 primarily consist of the following currencies: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460" w:name="xdx_8BB_zkPRALP9z8bb"/>
      <w:bookmarkEnd w:id="460"/>
      <w:r>
        <w:rPr>
          <w:rFonts w:ascii="Times New Roman;Times;Serif" w:hAnsi="Times New Roman;Times;Serif"/>
          <w:b w:val="false"/>
          <w:i w:val="false"/>
          <w:caps w:val="false"/>
          <w:smallCaps w:val="false"/>
          <w:sz w:val="20"/>
        </w:rPr>
        <w:t>SUMMARY OF CASH AND CASH EQUIVALENTS</w:t>
      </w:r>
    </w:p>
    <w:tbl>
      <w:tblPr>
        <w:tblW w:w="7043" w:type="dxa"/>
        <w:jc w:val="left"/>
        <w:tblInd w:w="0" w:type="dxa"/>
        <w:tblLayout w:type="fixed"/>
        <w:tblCellMar>
          <w:top w:w="0" w:type="dxa"/>
          <w:left w:w="0" w:type="dxa"/>
          <w:bottom w:w="0" w:type="dxa"/>
          <w:right w:w="0" w:type="dxa"/>
        </w:tblCellMar>
      </w:tblPr>
      <w:tblGrid>
        <w:gridCol w:w="2240"/>
        <w:gridCol w:w="60"/>
        <w:gridCol w:w="60"/>
        <w:gridCol w:w="695"/>
        <w:gridCol w:w="60"/>
        <w:gridCol w:w="60"/>
        <w:gridCol w:w="109"/>
        <w:gridCol w:w="1290"/>
        <w:gridCol w:w="60"/>
        <w:gridCol w:w="60"/>
        <w:gridCol w:w="60"/>
        <w:gridCol w:w="695"/>
        <w:gridCol w:w="60"/>
        <w:gridCol w:w="60"/>
        <w:gridCol w:w="109"/>
        <w:gridCol w:w="1290"/>
        <w:gridCol w:w="75"/>
      </w:tblGrid>
      <w:tr>
        <w:trPr/>
        <w:tc>
          <w:tcPr>
            <w:tcW w:w="22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61" w:name="xdx_494_20251231_zhASQkovz528"/>
            <w:bookmarkEnd w:id="461"/>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equivalent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62" w:name="xdx_495_20260630_zruVn2rd0jze"/>
            <w:bookmarkEnd w:id="462"/>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equivalent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equivalent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equivalent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4" w:type="dxa"/>
            <w:gridSpan w:val="6"/>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63" w:name="xdx_40E_eus-gaap--CashAndCashEquivalents"/>
            <w:bookmarkEnd w:id="463"/>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4" w:name="xdx_98A_eus-gaap--CashAndCashEquivalents"/>
            <w:bookmarkEnd w:id="464"/>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642,729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642,729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5" w:name="xdx_98C_eus-gaap--CashAndCashEquivalents"/>
            <w:bookmarkEnd w:id="465"/>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512,545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512,545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6" w:name="xdx_400_eus-gaap--CashAndCashEquivalents"/>
            <w:bookmarkEnd w:id="466"/>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7" w:name="xdx_98B_eus-gaap--CashAndCashEquivalents"/>
            <w:bookmarkEnd w:id="467"/>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158,775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8" w:name="xdx_982_eus-gaap--CashAndCashEquivalents"/>
            <w:bookmarkEnd w:id="468"/>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9" w:name="xdx_403_eus-gaap--CashAndCashEquivalents"/>
            <w:bookmarkEnd w:id="469"/>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bookmarkStart w:id="470" w:name="xdx_F48_zB7ozAe01EXg"/>
            <w:bookmarkEnd w:id="470"/>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71" w:name="xdx_98A_eus-gaap--CashAndCashEquivalents"/>
            <w:bookmarkEnd w:id="471"/>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107,755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72" w:name="xdx_980_eus-gaap--CashAndCashEquivalents"/>
            <w:bookmarkEnd w:id="472"/>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3" w:name="xdx_40C_eus-gaap--CashAndCashEquivalents"/>
            <w:bookmarkEnd w:id="473"/>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806,599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603,790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215"/>
        <w:gridCol w:w="570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74" w:name="xdx_F05_zSftHeCDEnV6"/>
            <w:bookmarkEnd w:id="474"/>
            <w:r>
              <w:rPr>
                <w:rFonts w:ascii="Times New Roman;Times;Serif" w:hAnsi="Times New Roman;Times;Serif"/>
                <w:b w:val="false"/>
                <w:i w:val="false"/>
                <w:caps w:val="false"/>
                <w:smallCaps w:val="false"/>
                <w:sz w:val="20"/>
              </w:rPr>
              <w:t>(i)</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75" w:name="xdx_F11_z4BJiFBzObW5"/>
            <w:bookmarkEnd w:id="475"/>
            <w:r>
              <w:rPr>
                <w:rFonts w:ascii="Times New Roman;Times;Serif" w:hAnsi="Times New Roman;Times;Serif"/>
                <w:b w:val="false"/>
                <w:i w:val="false"/>
                <w:caps w:val="false"/>
                <w:smallCaps w:val="false"/>
                <w:sz w:val="20"/>
              </w:rPr>
              <w:t>As of June 30, 2026, other currency primarily consists of Korean Won.</w:t>
            </w:r>
          </w:p>
        </w:tc>
      </w:tr>
    </w:tbl>
    <w:p>
      <w:pPr>
        <w:pStyle w:val="TextBody"/>
        <w:bidi w:val="0"/>
        <w:spacing w:before="0" w:after="0"/>
        <w:ind w:left="0" w:right="0" w:hanging="0"/>
        <w:jc w:val="left"/>
        <w:rPr>
          <w:caps w:val="false"/>
          <w:smallCaps w:val="false"/>
        </w:rPr>
      </w:pPr>
      <w:bookmarkStart w:id="476" w:name="xdx_8A3_zuW2Ov0Oz3Qc"/>
      <w:bookmarkEnd w:id="47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center"/>
        <w:rPr>
          <w:caps w:val="false"/>
          <w:smallCaps w:val="false"/>
        </w:rPr>
      </w:pPr>
      <w:bookmarkStart w:id="477" w:name="xdx_80F_ecustom--RestrictedCashDisclosur"/>
      <w:bookmarkEnd w:id="477"/>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185"/>
        <w:gridCol w:w="18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8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478" w:name="xdx_82F_zYOEBhELHfej"/>
            <w:bookmarkEnd w:id="478"/>
            <w:r>
              <w:rPr>
                <w:rFonts w:ascii="Times New Roman;Times;Serif" w:hAnsi="Times New Roman;Times;Serif"/>
                <w:b/>
                <w:i w:val="false"/>
                <w:caps w:val="false"/>
                <w:smallCaps w:val="false"/>
                <w:sz w:val="20"/>
              </w:rPr>
              <w:t>RESTRICTED 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Group held restricted cash of RMB</w:t>
      </w:r>
      <w:bookmarkStart w:id="479" w:name="xdx_909_eus-gaap--RestrictedCashCurrent_"/>
      <w:bookmarkEnd w:id="479"/>
      <w:r>
        <w:rPr>
          <w:rFonts w:ascii="Times New Roman;Times;Serif" w:hAnsi="Times New Roman;Times;Serif"/>
          <w:b w:val="false"/>
          <w:i w:val="false"/>
          <w:caps w:val="false"/>
          <w:smallCaps w:val="false"/>
          <w:sz w:val="20"/>
        </w:rPr>
        <w:t>164,431 and RMB</w:t>
      </w:r>
      <w:bookmarkStart w:id="480" w:name="xdx_905_eus-gaap--RestrictedCashCurrent_"/>
      <w:bookmarkEnd w:id="480"/>
      <w:r>
        <w:rPr>
          <w:rFonts w:ascii="Times New Roman;Times;Serif" w:hAnsi="Times New Roman;Times;Serif"/>
          <w:b w:val="false"/>
          <w:i w:val="false"/>
          <w:caps w:val="false"/>
          <w:smallCaps w:val="false"/>
          <w:sz w:val="20"/>
        </w:rPr>
        <w:t>153,338, respectively, in designated bank accounts, which were primarily composed of the deposit required for issuing bank acceptance bills of RMB</w:t>
      </w:r>
      <w:bookmarkStart w:id="481" w:name="xdx_906_ecustom--RestrictedCashHeldForIs"/>
      <w:bookmarkEnd w:id="481"/>
      <w:r>
        <w:rPr>
          <w:rFonts w:ascii="Times New Roman;Times;Serif" w:hAnsi="Times New Roman;Times;Serif"/>
          <w:b w:val="false"/>
          <w:i w:val="false"/>
          <w:caps w:val="false"/>
          <w:smallCaps w:val="false"/>
          <w:sz w:val="20"/>
        </w:rPr>
        <w:t>77,332 and RMB</w:t>
      </w:r>
      <w:bookmarkStart w:id="482" w:name="xdx_90B_ecustom--RestrictedCashHeldForIs"/>
      <w:bookmarkEnd w:id="482"/>
      <w:r>
        <w:rPr>
          <w:rFonts w:ascii="Times New Roman;Times;Serif" w:hAnsi="Times New Roman;Times;Serif"/>
          <w:b w:val="false"/>
          <w:i w:val="false"/>
          <w:caps w:val="false"/>
          <w:smallCaps w:val="false"/>
          <w:sz w:val="20"/>
        </w:rPr>
        <w:t>45,956, respectively, capital deposit of RMB</w:t>
      </w:r>
      <w:bookmarkStart w:id="483" w:name="xdx_90C_ecustom--RestrictedCashHeldForCa"/>
      <w:bookmarkEnd w:id="483"/>
      <w:r>
        <w:rPr>
          <w:rFonts w:ascii="Times New Roman;Times;Serif" w:hAnsi="Times New Roman;Times;Serif"/>
          <w:b w:val="false"/>
          <w:i w:val="false"/>
          <w:caps w:val="false"/>
          <w:smallCaps w:val="false"/>
          <w:sz w:val="20"/>
        </w:rPr>
        <w:t>770 and RMB</w:t>
      </w:r>
      <w:bookmarkStart w:id="484" w:name="xdx_901_ecustom--RestrictedCashHeldForCa"/>
      <w:bookmarkEnd w:id="484"/>
      <w:r>
        <w:rPr>
          <w:rFonts w:ascii="Times New Roman;Times;Serif" w:hAnsi="Times New Roman;Times;Serif"/>
          <w:b w:val="false"/>
          <w:i w:val="false"/>
          <w:caps w:val="false"/>
          <w:smallCaps w:val="false"/>
          <w:sz w:val="20"/>
        </w:rPr>
        <w:t>771, and the foreign exchange deposits of RMB</w:t>
      </w:r>
      <w:bookmarkStart w:id="485" w:name="xdx_90F_eus-gaap--DepositsForeign_iI_pn3"/>
      <w:bookmarkEnd w:id="485"/>
      <w:r>
        <w:rPr>
          <w:rFonts w:ascii="Times New Roman;Times;Serif" w:hAnsi="Times New Roman;Times;Serif"/>
          <w:b w:val="false"/>
          <w:i w:val="false"/>
          <w:caps w:val="false"/>
          <w:smallCaps w:val="false"/>
          <w:sz w:val="20"/>
        </w:rPr>
        <w:t>79,717 and RMB</w:t>
      </w:r>
      <w:bookmarkStart w:id="486" w:name="xdx_901_eus-gaap--DepositsForeign_iI_pn3"/>
      <w:bookmarkEnd w:id="486"/>
      <w:r>
        <w:rPr>
          <w:rFonts w:ascii="Times New Roman;Times;Serif" w:hAnsi="Times New Roman;Times;Serif"/>
          <w:b w:val="false"/>
          <w:i w:val="false"/>
          <w:caps w:val="false"/>
          <w:smallCaps w:val="false"/>
          <w:sz w:val="20"/>
        </w:rPr>
        <w:t>78,532, respectively.</w:t>
      </w:r>
    </w:p>
    <w:p>
      <w:pPr>
        <w:pStyle w:val="TextBody"/>
        <w:bidi w:val="0"/>
        <w:spacing w:before="0" w:after="0"/>
        <w:ind w:left="0" w:right="0" w:hanging="0"/>
        <w:jc w:val="left"/>
        <w:rPr>
          <w:caps w:val="false"/>
          <w:smallCaps w:val="false"/>
        </w:rPr>
      </w:pPr>
      <w:bookmarkStart w:id="487" w:name="xdx_80C_eus-gaap--CashCashEquivalentsAnd"/>
      <w:bookmarkEnd w:id="487"/>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85"/>
        <w:gridCol w:w="28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88" w:name="xdx_825_zBRt3oTOnU18"/>
            <w:bookmarkEnd w:id="488"/>
            <w:r>
              <w:rPr>
                <w:rFonts w:ascii="Times New Roman;Times;Serif" w:hAnsi="Times New Roman;Times;Serif"/>
                <w:b/>
                <w:i w:val="false"/>
                <w:caps w:val="false"/>
                <w:smallCaps w:val="false"/>
                <w:sz w:val="20"/>
              </w:rPr>
              <w:t>SHORT-TERM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mainly represent company securities and structured deposits. Short-term investments balance as of December 31, 2025 and June 30, 2026 is denominated in RMB, amounted to RMB</w:t>
      </w:r>
      <w:bookmarkStart w:id="489" w:name="xdx_90D_eus-gaap--ShortTermInvestments_i"/>
      <w:bookmarkEnd w:id="489"/>
      <w:r>
        <w:rPr>
          <w:rFonts w:ascii="Times New Roman;Times;Serif" w:hAnsi="Times New Roman;Times;Serif"/>
          <w:b w:val="false"/>
          <w:i w:val="false"/>
          <w:caps w:val="false"/>
          <w:smallCaps w:val="false"/>
          <w:sz w:val="20"/>
        </w:rPr>
        <w:t>82,598 and RMB</w:t>
      </w:r>
      <w:bookmarkStart w:id="490" w:name="xdx_90C_eus-gaap--ShortTermInvestments_i"/>
      <w:bookmarkEnd w:id="490"/>
      <w:r>
        <w:rPr>
          <w:rFonts w:ascii="Times New Roman;Times;Serif" w:hAnsi="Times New Roman;Times;Serif"/>
          <w:b w:val="false"/>
          <w:i w:val="false"/>
          <w:caps w:val="false"/>
          <w:smallCaps w:val="false"/>
          <w:sz w:val="20"/>
        </w:rPr>
        <w:t>120,805, respectively.</w:t>
      </w:r>
    </w:p>
    <w:p>
      <w:pPr>
        <w:pStyle w:val="TextBody"/>
        <w:bidi w:val="0"/>
        <w:spacing w:before="0" w:after="0"/>
        <w:ind w:left="0" w:right="0" w:hanging="0"/>
        <w:jc w:val="left"/>
        <w:rPr>
          <w:caps w:val="false"/>
          <w:smallCaps w:val="false"/>
        </w:rPr>
      </w:pPr>
      <w:bookmarkStart w:id="491" w:name="xdx_80F_eus-gaap--InventoryDisclosureTex"/>
      <w:bookmarkEnd w:id="491"/>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85"/>
        <w:gridCol w:w="18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92" w:name="xdx_82A_ze48XZ8YcUl6"/>
            <w:bookmarkEnd w:id="492"/>
            <w:r>
              <w:rPr>
                <w:rFonts w:ascii="Times New Roman;Times;Serif" w:hAnsi="Times New Roman;Times;Serif"/>
                <w:b/>
                <w:i w:val="false"/>
                <w:caps w:val="false"/>
                <w:smallCaps w:val="false"/>
                <w:sz w:val="20"/>
              </w:rPr>
              <w:t>INVENTORIES,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493" w:name="xdx_893_eus-gaap--ScheduleOfInventoryCur"/>
      <w:bookmarkEnd w:id="493"/>
      <w:r>
        <w:rPr>
          <w:rFonts w:ascii="Times New Roman;Times;Serif" w:hAnsi="Times New Roman;Times;Serif"/>
          <w:b w:val="false"/>
          <w:i w:val="false"/>
          <w:caps w:val="false"/>
          <w:smallCaps w:val="false"/>
          <w:sz w:val="20"/>
        </w:rPr>
        <w:t>Inventories, net consisted of the followings:</w:t>
      </w:r>
    </w:p>
    <w:p>
      <w:pPr>
        <w:pStyle w:val="TextBody"/>
        <w:bidi w:val="0"/>
        <w:spacing w:before="0" w:after="0"/>
        <w:ind w:left="720" w:right="0" w:hanging="0"/>
        <w:jc w:val="left"/>
        <w:rPr>
          <w:caps w:val="false"/>
          <w:smallCaps w:val="false"/>
        </w:rPr>
      </w:pPr>
      <w:r>
        <w:rPr>
          <w:caps w:val="false"/>
          <w:smallCaps w:val="false"/>
        </w:rPr>
        <w:t>  </w:t>
      </w:r>
      <w:bookmarkStart w:id="494" w:name="xdx_8B8_zhkVlpFWmhXa"/>
      <w:bookmarkEnd w:id="494"/>
      <w:r>
        <w:rPr>
          <w:rFonts w:ascii="Times New Roman;Times;Serif" w:hAnsi="Times New Roman;Times;Serif"/>
          <w:b w:val="false"/>
          <w:i w:val="false"/>
          <w:caps w:val="false"/>
          <w:smallCaps w:val="false"/>
          <w:sz w:val="20"/>
        </w:rPr>
        <w:t>SCHEDULE OF INVENTORIES</w:t>
      </w:r>
    </w:p>
    <w:tbl>
      <w:tblPr>
        <w:tblW w:w="3748" w:type="dxa"/>
        <w:jc w:val="left"/>
        <w:tblInd w:w="0" w:type="dxa"/>
        <w:tblLayout w:type="fixed"/>
        <w:tblCellMar>
          <w:top w:w="0" w:type="dxa"/>
          <w:left w:w="0" w:type="dxa"/>
          <w:bottom w:w="0" w:type="dxa"/>
          <w:right w:w="0" w:type="dxa"/>
        </w:tblCellMar>
      </w:tblPr>
      <w:tblGrid>
        <w:gridCol w:w="1340"/>
        <w:gridCol w:w="60"/>
        <w:gridCol w:w="92"/>
        <w:gridCol w:w="1082"/>
        <w:gridCol w:w="60"/>
        <w:gridCol w:w="60"/>
        <w:gridCol w:w="77"/>
        <w:gridCol w:w="902"/>
        <w:gridCol w:w="75"/>
      </w:tblGrid>
      <w:tr>
        <w:trPr/>
        <w:tc>
          <w:tcPr>
            <w:tcW w:w="13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95" w:name="xdx_49F_20251231_ziENtW6a6ki1"/>
            <w:bookmarkEnd w:id="495"/>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96" w:name="xdx_493_20260630_zbWflimVAYxa"/>
            <w:bookmarkEnd w:id="496"/>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97" w:name="xdx_405_eus-gaap--InventoryFinishedGoods"/>
            <w:bookmarkEnd w:id="49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8" w:name="xdx_400_eus-gaap--InventoryRawMaterials_"/>
            <w:bookmarkEnd w:id="49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9" w:name="xdx_40D_eus-gaap--InventoryNet_iTI_pn3n3"/>
            <w:bookmarkEnd w:id="49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126,879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116,355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500" w:name="xdx_8AA_zTrArK1Xvtu"/>
      <w:bookmarkEnd w:id="500"/>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inventory written down amounted to RMB</w:t>
      </w:r>
      <w:bookmarkStart w:id="501" w:name="xdx_90F_eus-gaap--InventoryGross_iI_pn3n"/>
      <w:bookmarkEnd w:id="501"/>
      <w:r>
        <w:rPr>
          <w:rFonts w:ascii="Times New Roman;Times;Serif" w:hAnsi="Times New Roman;Times;Serif"/>
          <w:b w:val="false"/>
          <w:i w:val="false"/>
          <w:caps w:val="false"/>
          <w:smallCaps w:val="false"/>
          <w:sz w:val="20"/>
        </w:rPr>
        <w:t>805 and RMB</w:t>
      </w:r>
      <w:bookmarkStart w:id="502" w:name="xdx_909_eus-gaap--InventoryGross_iI_pn3n"/>
      <w:bookmarkEnd w:id="502"/>
      <w:r>
        <w:rPr>
          <w:rFonts w:ascii="Times New Roman;Times;Serif" w:hAnsi="Times New Roman;Times;Serif"/>
          <w:b w:val="false"/>
          <w:i w:val="false"/>
          <w:caps w:val="false"/>
          <w:smallCaps w:val="false"/>
          <w:sz w:val="20"/>
        </w:rPr>
        <w:t>1,039 as of December 31, 2025 and June 30, 2026, respectively.</w:t>
      </w:r>
    </w:p>
    <w:p>
      <w:pPr>
        <w:pStyle w:val="TextBody"/>
        <w:bidi w:val="0"/>
        <w:spacing w:before="0" w:after="0"/>
        <w:ind w:left="0" w:right="0" w:hanging="0"/>
        <w:jc w:val="left"/>
        <w:rPr>
          <w:caps w:val="false"/>
          <w:smallCaps w:val="false"/>
        </w:rPr>
      </w:pPr>
      <w:bookmarkStart w:id="503" w:name="xdx_805_eus-gaap--OtherCurrentAssetsText"/>
      <w:bookmarkEnd w:id="503"/>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5"/>
        <w:gridCol w:w="39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04" w:name="xdx_824_zsdMcnlVRRya"/>
            <w:bookmarkEnd w:id="504"/>
            <w:r>
              <w:rPr>
                <w:rFonts w:ascii="Times New Roman;Times;Serif" w:hAnsi="Times New Roman;Times;Serif"/>
                <w:b/>
                <w:i w:val="false"/>
                <w:caps w:val="false"/>
                <w:smallCaps w:val="false"/>
                <w:sz w:val="20"/>
              </w:rPr>
              <w:t>PREPAID EXPENSES AND OTHER ASSETS</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5" w:name="xdx_8B4_zE75Qwo5DBA3"/>
      <w:bookmarkStart w:id="506" w:name="xdx_896_eus-gaap--DeferredCostsCapitaliz"/>
      <w:bookmarkEnd w:id="505"/>
      <w:bookmarkEnd w:id="506"/>
      <w:r>
        <w:rPr>
          <w:rFonts w:ascii="Times New Roman;Times;Serif" w:hAnsi="Times New Roman;Times;Serif"/>
          <w:b/>
          <w:i w:val="false"/>
          <w:caps w:val="false"/>
          <w:smallCaps w:val="false"/>
          <w:sz w:val="20"/>
        </w:rPr>
        <w:t>SCHEDULE OF PREPAID EXPENSES AND OTHER ASSETS </w:t>
      </w:r>
    </w:p>
    <w:tbl>
      <w:tblPr>
        <w:tblW w:w="6683" w:type="dxa"/>
        <w:jc w:val="left"/>
        <w:tblInd w:w="0" w:type="dxa"/>
        <w:tblLayout w:type="fixed"/>
        <w:tblCellMar>
          <w:top w:w="0" w:type="dxa"/>
          <w:left w:w="0" w:type="dxa"/>
          <w:bottom w:w="0" w:type="dxa"/>
          <w:right w:w="0" w:type="dxa"/>
        </w:tblCellMar>
      </w:tblPr>
      <w:tblGrid>
        <w:gridCol w:w="4235"/>
        <w:gridCol w:w="60"/>
        <w:gridCol w:w="92"/>
        <w:gridCol w:w="1082"/>
        <w:gridCol w:w="80"/>
        <w:gridCol w:w="60"/>
        <w:gridCol w:w="77"/>
        <w:gridCol w:w="902"/>
        <w:gridCol w:w="95"/>
      </w:tblGrid>
      <w:tr>
        <w:trPr/>
        <w:tc>
          <w:tcPr>
            <w:tcW w:w="42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07" w:name="xdx_494_20251231_zxugQ1NRvsFe"/>
            <w:bookmarkEnd w:id="507"/>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08" w:name="xdx_49B_20260630_zHNd67IKwOp5"/>
            <w:bookmarkEnd w:id="508"/>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09" w:name="xdx_407_eus-gaap--Supplies_iI_pn3n3_maPE"/>
            <w:bookmarkEnd w:id="509"/>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0" w:name="xdx_407_eus-gaap--OtherPrepaidExpenseCur"/>
            <w:bookmarkEnd w:id="510"/>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1" w:name="xdx_40D_eus-gaap--OtherReceivables_iI_pn"/>
            <w:bookmarkEnd w:id="511"/>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2" w:name="xdx_409_ecustom--PrepaymentForEquipment_"/>
            <w:bookmarkEnd w:id="512"/>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for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3" w:name="xdx_402_ecustom--LeaseHoldImprovement_iI"/>
            <w:bookmarkEnd w:id="513"/>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hold improvement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4" w:name="xdx_40F_ecustom--ExpectedReturnAssets_iI"/>
            <w:bookmarkEnd w:id="514"/>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5" w:name="xdx_40C_eus-gaap--PrepaidExpenseAndOther"/>
            <w:bookmarkEnd w:id="515"/>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114,254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6" w:name="xdx_40C_ecustom--PrepaidExpenseAndOtherA"/>
            <w:bookmarkEnd w:id="516"/>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7" w:name="xdx_409_eus-gaap--PrepaidExpenseAndOther"/>
            <w:bookmarkEnd w:id="517"/>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expenses and other assets-current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157,096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518" w:name="xdx_8AC_z6spNuOAIMs1"/>
      <w:bookmarkEnd w:id="518"/>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r>
      <w:bookmarkStart w:id="519" w:name="xdx_80F_eus-gaap--PropertyPlantAndEquipm"/>
      <w:bookmarkStart w:id="520" w:name="xdx_80F_eus-gaap--PropertyPlantAndEquipm"/>
      <w:bookmarkEnd w:id="520"/>
    </w:p>
    <w:tbl>
      <w:tblPr>
        <w:tblW w:w="4270" w:type="dxa"/>
        <w:jc w:val="left"/>
        <w:tblInd w:w="0" w:type="dxa"/>
        <w:tblLayout w:type="fixed"/>
        <w:tblCellMar>
          <w:top w:w="0" w:type="dxa"/>
          <w:left w:w="0" w:type="dxa"/>
          <w:bottom w:w="0" w:type="dxa"/>
          <w:right w:w="0" w:type="dxa"/>
        </w:tblCellMar>
      </w:tblPr>
      <w:tblGrid>
        <w:gridCol w:w="185"/>
        <w:gridCol w:w="40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40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21" w:name="xdx_822_zDZmQ1m8E7ce"/>
            <w:bookmarkEnd w:id="521"/>
            <w:r>
              <w:rPr>
                <w:rFonts w:ascii="Times New Roman;Times;Serif" w:hAnsi="Times New Roman;Times;Serif"/>
                <w:b/>
                <w:i w:val="false"/>
                <w:caps w:val="false"/>
                <w:smallCaps w:val="false"/>
                <w:sz w:val="20"/>
              </w:rPr>
              <w:t>PROPERTY, PLANT, AND EQUIPMENT, NET</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2" w:name="xdx_8B2_zTGTumYaQaO1"/>
      <w:bookmarkStart w:id="523" w:name="xdx_892_eus-gaap--PropertyPlantAndEquipm"/>
      <w:bookmarkEnd w:id="522"/>
      <w:bookmarkEnd w:id="523"/>
      <w:r>
        <w:rPr>
          <w:rFonts w:ascii="Times New Roman;Times;Serif" w:hAnsi="Times New Roman;Times;Serif"/>
          <w:b/>
          <w:i w:val="false"/>
          <w:caps w:val="false"/>
          <w:smallCaps w:val="false"/>
          <w:sz w:val="20"/>
        </w:rPr>
        <w:t>SCHEDULE OF PROPERTY, PLANT, AND EQUIPMENT, NET </w:t>
      </w:r>
    </w:p>
    <w:tbl>
      <w:tblPr>
        <w:tblW w:w="5453" w:type="dxa"/>
        <w:jc w:val="left"/>
        <w:tblInd w:w="0" w:type="dxa"/>
        <w:tblLayout w:type="fixed"/>
        <w:tblCellMar>
          <w:top w:w="0" w:type="dxa"/>
          <w:left w:w="0" w:type="dxa"/>
          <w:bottom w:w="0" w:type="dxa"/>
          <w:right w:w="0" w:type="dxa"/>
        </w:tblCellMar>
      </w:tblPr>
      <w:tblGrid>
        <w:gridCol w:w="3005"/>
        <w:gridCol w:w="60"/>
        <w:gridCol w:w="85"/>
        <w:gridCol w:w="1089"/>
        <w:gridCol w:w="80"/>
        <w:gridCol w:w="60"/>
        <w:gridCol w:w="71"/>
        <w:gridCol w:w="908"/>
        <w:gridCol w:w="95"/>
      </w:tblGrid>
      <w:tr>
        <w:trPr/>
        <w:tc>
          <w:tcPr>
            <w:tcW w:w="30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24" w:name="xdx_49B_20251231_zHAtQruoJ98j"/>
            <w:bookmarkEnd w:id="524"/>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25" w:name="xdx_491_20260630_zcoYDpgtFzS8"/>
            <w:bookmarkEnd w:id="525"/>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26" w:name="xdx_409_eus-gaap--PropertyPlantAndEquipm"/>
            <w:bookmarkEnd w:id="526"/>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7" w:name="xdx_40E_eus-gaap--PropertyPlantAndEquipm"/>
            <w:bookmarkEnd w:id="527"/>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8" w:name="xdx_40A_eus-gaap--PropertyPlantAndEquipm"/>
            <w:bookmarkEnd w:id="528"/>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9" w:name="xdx_403_eus-gaap--PropertyPlantAndEquipm"/>
            <w:bookmarkEnd w:id="529"/>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433,937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459,396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30" w:name="xdx_403_eus-gaap--AccumulatedDepreciatio"/>
            <w:bookmarkEnd w:id="530"/>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31" w:name="xdx_406_eus-gaap--PropertyPlantAndEquipm"/>
            <w:bookmarkEnd w:id="531"/>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311,399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left"/>
        <w:rPr>
          <w:caps w:val="false"/>
          <w:smallCaps w:val="false"/>
        </w:rPr>
      </w:pPr>
      <w:bookmarkStart w:id="532" w:name="xdx_8AC_zcnYmCFzslO1"/>
      <w:bookmarkEnd w:id="53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recorded depreciation expense of RMB</w:t>
      </w:r>
      <w:bookmarkStart w:id="533" w:name="xdx_90A_eus-gaap--Depreciation_pn3n3_c20"/>
      <w:bookmarkEnd w:id="533"/>
      <w:r>
        <w:rPr>
          <w:rFonts w:ascii="Times New Roman;Times;Serif" w:hAnsi="Times New Roman;Times;Serif"/>
          <w:b w:val="false"/>
          <w:i w:val="false"/>
          <w:caps w:val="false"/>
          <w:smallCaps w:val="false"/>
          <w:sz w:val="20"/>
        </w:rPr>
        <w:t>16,335 and RMB</w:t>
      </w:r>
      <w:bookmarkStart w:id="534" w:name="xdx_90B_eus-gaap--Depreciation_pn3n3_c20"/>
      <w:bookmarkEnd w:id="534"/>
      <w:r>
        <w:rPr>
          <w:rFonts w:ascii="Times New Roman;Times;Serif" w:hAnsi="Times New Roman;Times;Serif"/>
          <w:b w:val="false"/>
          <w:i w:val="false"/>
          <w:caps w:val="false"/>
          <w:smallCaps w:val="false"/>
          <w:sz w:val="20"/>
        </w:rPr>
        <w:t xml:space="preserve">19,494 for the six months ended June 30, 2025 and 2026, respectively. </w:t>
      </w:r>
      <w:bookmarkStart w:id="535" w:name="xdx_90C_eus-gaap--AssetImpairmentCharges"/>
      <w:bookmarkStart w:id="536" w:name="xdx_908_eus-gaap--AssetImpairmentCharges"/>
      <w:bookmarkEnd w:id="535"/>
      <w:bookmarkEnd w:id="536"/>
      <w:r>
        <w:rPr>
          <w:rFonts w:ascii="Times New Roman;Times;Serif" w:hAnsi="Times New Roman;Times;Serif"/>
          <w:b w:val="false"/>
          <w:i w:val="false"/>
          <w:caps w:val="false"/>
          <w:smallCaps w:val="false"/>
          <w:sz w:val="20"/>
        </w:rPr>
        <w:t>No impairment was recorded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also pledged certain property, plant, and equipment for the Group’s long-term borrowings (See Note 11).</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bookmarkStart w:id="537" w:name="xdx_807_ecustom--LandUseRightsNetDisclos"/>
      <w:bookmarkEnd w:id="537"/>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38" w:name="xdx_823_zXwmZuO9AIs"/>
            <w:bookmarkEnd w:id="538"/>
            <w:r>
              <w:rPr>
                <w:rFonts w:ascii="Times New Roman;Times;Serif" w:hAnsi="Times New Roman;Times;Serif"/>
                <w:b/>
                <w:i w:val="false"/>
                <w:caps w:val="false"/>
                <w:smallCaps w:val="false"/>
                <w:sz w:val="20"/>
              </w:rPr>
              <w:t>LAND USE RIGHT,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the Group obtained a land use right in Foshan from the local authorities. Amortization of the land use right is made over the remaining term of the land use right period from the date when the land was made available for use by the Group. The land use right is summarized as follows:</w:t>
      </w:r>
    </w:p>
    <w:p>
      <w:pPr>
        <w:pStyle w:val="TextBody"/>
        <w:bidi w:val="0"/>
        <w:spacing w:before="0" w:after="0"/>
        <w:ind w:left="600" w:right="0" w:hanging="0"/>
        <w:jc w:val="left"/>
        <w:rPr>
          <w:caps w:val="false"/>
          <w:smallCaps w:val="false"/>
        </w:rPr>
      </w:pPr>
      <w:bookmarkStart w:id="539" w:name="xdx_899_ecustom--ScheduleOfLandUseRights"/>
      <w:bookmarkEnd w:id="539"/>
      <w:r>
        <w:rPr>
          <w:caps w:val="false"/>
          <w:smallCaps w:val="false"/>
        </w:rPr>
        <w:t> </w:t>
      </w:r>
      <w:bookmarkStart w:id="540" w:name="xdx_8BA_zdndMDMtmHe2"/>
      <w:bookmarkEnd w:id="540"/>
      <w:r>
        <w:rPr>
          <w:rFonts w:ascii="Times New Roman;Times;Serif" w:hAnsi="Times New Roman;Times;Serif"/>
          <w:b w:val="false"/>
          <w:i w:val="false"/>
          <w:caps w:val="false"/>
          <w:smallCaps w:val="false"/>
          <w:sz w:val="20"/>
        </w:rPr>
        <w:t>SUMMARY OF LAND USE RIGHT, NET </w:t>
      </w:r>
    </w:p>
    <w:tbl>
      <w:tblPr>
        <w:tblW w:w="6788" w:type="dxa"/>
        <w:jc w:val="left"/>
        <w:tblInd w:w="0" w:type="dxa"/>
        <w:tblLayout w:type="fixed"/>
        <w:tblCellMar>
          <w:top w:w="0" w:type="dxa"/>
          <w:left w:w="0" w:type="dxa"/>
          <w:bottom w:w="0" w:type="dxa"/>
          <w:right w:w="0" w:type="dxa"/>
        </w:tblCellMar>
      </w:tblPr>
      <w:tblGrid>
        <w:gridCol w:w="3005"/>
        <w:gridCol w:w="60"/>
        <w:gridCol w:w="161"/>
        <w:gridCol w:w="1838"/>
        <w:gridCol w:w="95"/>
        <w:gridCol w:w="60"/>
        <w:gridCol w:w="118"/>
        <w:gridCol w:w="1341"/>
        <w:gridCol w:w="11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1" w:name="xdx_49A_20251231_zRdyg3Ak79ef"/>
            <w:bookmarkEnd w:id="541"/>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2" w:name="xdx_49E_20260630_zFlESUhqP42b"/>
            <w:bookmarkEnd w:id="542"/>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543" w:name="xdx_406_ecustom--LandUseRightsGross_iI_p"/>
            <w:bookmarkEnd w:id="543"/>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Land use right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8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63,618</w:t>
            </w:r>
          </w:p>
        </w:tc>
        <w:tc>
          <w:tcPr>
            <w:tcW w:w="110" w:type="dxa"/>
            <w:tcBorders/>
            <w:shd w:fill="CCEEFF" w:val="clear"/>
            <w:vAlign w:val="center"/>
          </w:tcPr>
          <w:p>
            <w:pPr>
              <w:pStyle w:val="TableContents"/>
              <w:bidi w:val="0"/>
              <w:spacing w:before="0" w:after="283"/>
              <w:jc w:val="left"/>
              <w:rPr/>
            </w:pPr>
            <w:r>
              <w:rPr/>
              <w:t> </w:t>
            </w:r>
            <w:bookmarkStart w:id="544" w:name="xdx_400_ecustom--LandUseRightsAccumulate"/>
            <w:bookmarkEnd w:id="544"/>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5" w:name="xdx_406_ecustom--LandUseRightsNet_iTI_pn"/>
            <w:bookmarkEnd w:id="545"/>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Land use right, net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55,995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left"/>
        <w:rPr>
          <w:caps w:val="false"/>
          <w:smallCaps w:val="false"/>
        </w:rPr>
      </w:pPr>
      <w:bookmarkStart w:id="546" w:name="xdx_8A2_zxReKZey9avj"/>
      <w:bookmarkEnd w:id="54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recorded amortization expense of RMB</w:t>
      </w:r>
      <w:bookmarkStart w:id="547" w:name="xdx_903_ecustom--AmortizationOfLandUseRi"/>
      <w:bookmarkEnd w:id="547"/>
      <w:r>
        <w:rPr>
          <w:rFonts w:ascii="Times New Roman;Times;Serif" w:hAnsi="Times New Roman;Times;Serif"/>
          <w:b w:val="false"/>
          <w:i w:val="false"/>
          <w:caps w:val="false"/>
          <w:smallCaps w:val="false"/>
          <w:sz w:val="20"/>
        </w:rPr>
        <w:t>637 and RMB</w:t>
      </w:r>
      <w:bookmarkStart w:id="548" w:name="xdx_90B_ecustom--AmortizationOfLandUseRi"/>
      <w:bookmarkEnd w:id="548"/>
      <w:r>
        <w:rPr>
          <w:rFonts w:ascii="Times New Roman;Times;Serif" w:hAnsi="Times New Roman;Times;Serif"/>
          <w:b w:val="false"/>
          <w:i w:val="false"/>
          <w:caps w:val="false"/>
          <w:smallCaps w:val="false"/>
          <w:sz w:val="20"/>
        </w:rPr>
        <w:t>636 for the six months ended June 30, 2025 and 2026, respectively.</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also pledged its land use right for the Group’s long-term borrowings (See Note 11).</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49" w:name="xdx_899_ecustom--LandUseRightsFutureAmor"/>
      <w:bookmarkEnd w:id="549"/>
      <w:r>
        <w:rPr>
          <w:rFonts w:ascii="Times New Roman;Times;Serif" w:hAnsi="Times New Roman;Times;Serif"/>
          <w:b w:val="false"/>
          <w:i w:val="false"/>
          <w:caps w:val="false"/>
          <w:smallCaps w:val="false"/>
          <w:sz w:val="20"/>
        </w:rPr>
        <w:t>The estimated future amortization expense for land use rights as of June 30, 2026 is as follows:</w:t>
      </w:r>
    </w:p>
    <w:p>
      <w:pPr>
        <w:pStyle w:val="TextBody"/>
        <w:bidi w:val="0"/>
        <w:spacing w:before="0" w:after="0"/>
        <w:ind w:left="720" w:right="0" w:hanging="0"/>
        <w:jc w:val="both"/>
        <w:rPr>
          <w:caps w:val="false"/>
          <w:smallCaps w:val="false"/>
        </w:rPr>
      </w:pPr>
      <w:r>
        <w:rPr>
          <w:caps w:val="false"/>
          <w:smallCaps w:val="false"/>
        </w:rPr>
        <w:t>  </w:t>
      </w:r>
      <w:bookmarkStart w:id="550" w:name="xdx_8B6_zNWMnvGtM5c8"/>
      <w:bookmarkEnd w:id="550"/>
      <w:r>
        <w:rPr>
          <w:rFonts w:ascii="Times New Roman;Times;Serif" w:hAnsi="Times New Roman;Times;Serif"/>
          <w:b w:val="false"/>
          <w:i w:val="false"/>
          <w:caps w:val="false"/>
          <w:smallCaps w:val="false"/>
          <w:sz w:val="20"/>
        </w:rPr>
        <w:t>SCHEDULE OF ESTIMATED FUTURE AMORTIZATION EXPENSE FOR LAND USE RIGHTS</w:t>
      </w:r>
    </w:p>
    <w:tbl>
      <w:tblPr>
        <w:tblW w:w="3745" w:type="dxa"/>
        <w:jc w:val="left"/>
        <w:tblInd w:w="0" w:type="dxa"/>
        <w:tblLayout w:type="fixed"/>
        <w:tblCellMar>
          <w:top w:w="0" w:type="dxa"/>
          <w:left w:w="0" w:type="dxa"/>
          <w:bottom w:w="0" w:type="dxa"/>
          <w:right w:w="0" w:type="dxa"/>
        </w:tblCellMar>
      </w:tblPr>
      <w:tblGrid>
        <w:gridCol w:w="2870"/>
        <w:gridCol w:w="60"/>
        <w:gridCol w:w="60"/>
        <w:gridCol w:w="680"/>
        <w:gridCol w:w="75"/>
      </w:tblGrid>
      <w:tr>
        <w:trPr/>
        <w:tc>
          <w:tcPr>
            <w:tcW w:w="28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51" w:name="xdx_496_20260630_zXt0VtbU7U1l"/>
            <w:bookmarkEnd w:id="551"/>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bookmarkStart w:id="552" w:name="xdx_402_ecustom--LandUseRightsExpectedAm"/>
            <w:bookmarkEnd w:id="552"/>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in fiscal year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w:t>
            </w:r>
          </w:p>
        </w:tc>
        <w:tc>
          <w:tcPr>
            <w:tcW w:w="75" w:type="dxa"/>
            <w:tcBorders/>
            <w:shd w:fill="CCEEFF" w:val="clear"/>
            <w:vAlign w:val="center"/>
          </w:tcPr>
          <w:p>
            <w:pPr>
              <w:pStyle w:val="TableContents"/>
              <w:bidi w:val="0"/>
              <w:spacing w:before="0" w:after="283"/>
              <w:jc w:val="left"/>
              <w:rPr/>
            </w:pPr>
            <w:r>
              <w:rPr/>
              <w:t> </w:t>
            </w:r>
            <w:bookmarkStart w:id="553" w:name="xdx_401_ecustom--LandUseRightsExpectedAm"/>
            <w:bookmarkEnd w:id="553"/>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w:t>
            </w:r>
          </w:p>
        </w:tc>
        <w:tc>
          <w:tcPr>
            <w:tcW w:w="75" w:type="dxa"/>
            <w:tcBorders/>
            <w:shd w:fill="FFFFFF" w:val="clear"/>
            <w:vAlign w:val="center"/>
          </w:tcPr>
          <w:p>
            <w:pPr>
              <w:pStyle w:val="TableContents"/>
              <w:bidi w:val="0"/>
              <w:spacing w:before="0" w:after="283"/>
              <w:jc w:val="left"/>
              <w:rPr/>
            </w:pPr>
            <w:r>
              <w:rPr/>
              <w:t> </w:t>
            </w:r>
            <w:bookmarkStart w:id="554" w:name="xdx_407_ecustom--LandUseRightsExpectedAm"/>
            <w:bookmarkEnd w:id="554"/>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w:t>
            </w:r>
          </w:p>
        </w:tc>
        <w:tc>
          <w:tcPr>
            <w:tcW w:w="75" w:type="dxa"/>
            <w:tcBorders/>
            <w:shd w:fill="CCEEFF" w:val="clear"/>
            <w:vAlign w:val="center"/>
          </w:tcPr>
          <w:p>
            <w:pPr>
              <w:pStyle w:val="TableContents"/>
              <w:bidi w:val="0"/>
              <w:spacing w:before="0" w:after="283"/>
              <w:jc w:val="left"/>
              <w:rPr/>
            </w:pPr>
            <w:r>
              <w:rPr/>
              <w:t> </w:t>
            </w:r>
            <w:bookmarkStart w:id="555" w:name="xdx_405_ecustom--LandUseRightsExpectedAm"/>
            <w:bookmarkEnd w:id="555"/>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w:t>
            </w:r>
          </w:p>
        </w:tc>
        <w:tc>
          <w:tcPr>
            <w:tcW w:w="75" w:type="dxa"/>
            <w:tcBorders/>
            <w:shd w:fill="FFFFFF" w:val="clear"/>
            <w:vAlign w:val="center"/>
          </w:tcPr>
          <w:p>
            <w:pPr>
              <w:pStyle w:val="TableContents"/>
              <w:bidi w:val="0"/>
              <w:spacing w:before="0" w:after="283"/>
              <w:jc w:val="left"/>
              <w:rPr/>
            </w:pPr>
            <w:r>
              <w:rPr/>
              <w:t> </w:t>
            </w:r>
            <w:bookmarkStart w:id="556" w:name="xdx_40A_ecustom--LandUseRightsExpectedAm"/>
            <w:bookmarkEnd w:id="556"/>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w:t>
            </w:r>
          </w:p>
        </w:tc>
        <w:tc>
          <w:tcPr>
            <w:tcW w:w="75" w:type="dxa"/>
            <w:tcBorders/>
            <w:shd w:fill="CCEEFF" w:val="clear"/>
            <w:vAlign w:val="center"/>
          </w:tcPr>
          <w:p>
            <w:pPr>
              <w:pStyle w:val="TableContents"/>
              <w:bidi w:val="0"/>
              <w:spacing w:before="0" w:after="283"/>
              <w:jc w:val="left"/>
              <w:rPr/>
            </w:pPr>
            <w:r>
              <w:rPr/>
              <w:t> </w:t>
            </w:r>
            <w:bookmarkStart w:id="557" w:name="xdx_40F_ecustom--LandUseRightsExpectedAm"/>
            <w:bookmarkEnd w:id="557"/>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50,266</w:t>
            </w:r>
          </w:p>
        </w:tc>
        <w:tc>
          <w:tcPr>
            <w:tcW w:w="75" w:type="dxa"/>
            <w:tcBorders/>
            <w:shd w:fill="FFFFFF" w:val="clear"/>
            <w:vAlign w:val="center"/>
          </w:tcPr>
          <w:p>
            <w:pPr>
              <w:pStyle w:val="TableContents"/>
              <w:bidi w:val="0"/>
              <w:spacing w:before="0" w:after="283"/>
              <w:jc w:val="left"/>
              <w:rPr/>
            </w:pPr>
            <w:r>
              <w:rPr/>
              <w:t> </w:t>
            </w:r>
            <w:bookmarkStart w:id="558" w:name="xdx_406_ecustom--LandUseRightsNet_iTI_pn"/>
            <w:bookmarkEnd w:id="558"/>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55,995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left"/>
        <w:rPr>
          <w:caps w:val="false"/>
          <w:smallCaps w:val="false"/>
        </w:rPr>
      </w:pPr>
      <w:bookmarkStart w:id="559" w:name="xdx_8A8_zEPmuCEO3pOj"/>
      <w:bookmarkEnd w:id="559"/>
      <w:r>
        <w:rPr>
          <w:caps w:val="false"/>
          <w:smallCaps w:val="false"/>
        </w:rPr>
        <w:t> </w:t>
      </w:r>
    </w:p>
    <w:p>
      <w:pPr>
        <w:pStyle w:val="TextBody"/>
        <w:bidi w:val="0"/>
        <w:spacing w:before="0" w:after="0"/>
        <w:ind w:left="600" w:right="0" w:hanging="0"/>
        <w:jc w:val="left"/>
        <w:rPr>
          <w:caps w:val="false"/>
          <w:smallCaps w:val="false"/>
        </w:rPr>
      </w:pPr>
      <w:bookmarkStart w:id="560" w:name="xdx_80D_eus-gaap--DebtDisclosureTextBloc"/>
      <w:bookmarkEnd w:id="560"/>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4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61" w:name="xdx_824_zmFaVNu9nVO4"/>
            <w:bookmarkEnd w:id="561"/>
            <w:r>
              <w:rPr>
                <w:rFonts w:ascii="Times New Roman;Times;Serif" w:hAnsi="Times New Roman;Times;Serif"/>
                <w:b/>
                <w:i w:val="false"/>
                <w:caps w:val="false"/>
                <w:smallCaps w:val="false"/>
                <w:sz w:val="20"/>
              </w:rPr>
              <w:t>BORROWINGS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60"/>
        <w:gridCol w:w="1895"/>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8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Short-term 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62" w:name="xdx_89A_eus-gaap--ScheduleOfShortTermDeb"/>
      <w:bookmarkEnd w:id="562"/>
      <w:r>
        <w:rPr>
          <w:rFonts w:ascii="Times New Roman;Times;Serif" w:hAnsi="Times New Roman;Times;Serif"/>
          <w:b w:val="false"/>
          <w:i w:val="false"/>
          <w:caps w:val="false"/>
          <w:smallCaps w:val="false"/>
          <w:sz w:val="20"/>
        </w:rPr>
        <w:t>Short-term bank loans consisted of the following:</w:t>
      </w:r>
    </w:p>
    <w:p>
      <w:pPr>
        <w:pStyle w:val="TextBody"/>
        <w:bidi w:val="0"/>
        <w:spacing w:before="0" w:after="0"/>
        <w:ind w:left="600" w:right="0" w:hanging="0"/>
        <w:jc w:val="left"/>
        <w:rPr>
          <w:caps w:val="false"/>
          <w:smallCaps w:val="false"/>
        </w:rPr>
      </w:pPr>
      <w:r>
        <w:rPr>
          <w:caps w:val="false"/>
          <w:smallCaps w:val="false"/>
        </w:rPr>
        <w:t> </w:t>
      </w:r>
      <w:bookmarkStart w:id="563" w:name="xdx_8B8_zsaOrvgR7z88"/>
      <w:bookmarkEnd w:id="563"/>
      <w:r>
        <w:rPr>
          <w:rFonts w:ascii="Times New Roman;Times;Serif" w:hAnsi="Times New Roman;Times;Serif"/>
          <w:b w:val="false"/>
          <w:i w:val="false"/>
          <w:caps w:val="false"/>
          <w:smallCaps w:val="false"/>
          <w:sz w:val="20"/>
        </w:rPr>
        <w:t>SCHEDULE OF SHORT-TERM BORROWINGS </w:t>
      </w:r>
    </w:p>
    <w:tbl>
      <w:tblPr>
        <w:tblW w:w="7408" w:type="dxa"/>
        <w:jc w:val="left"/>
        <w:tblInd w:w="0" w:type="dxa"/>
        <w:tblLayout w:type="fixed"/>
        <w:tblCellMar>
          <w:top w:w="0" w:type="dxa"/>
          <w:left w:w="0" w:type="dxa"/>
          <w:bottom w:w="0" w:type="dxa"/>
          <w:right w:w="0" w:type="dxa"/>
        </w:tblCellMar>
      </w:tblPr>
      <w:tblGrid>
        <w:gridCol w:w="3695"/>
        <w:gridCol w:w="60"/>
        <w:gridCol w:w="161"/>
        <w:gridCol w:w="1838"/>
        <w:gridCol w:w="60"/>
        <w:gridCol w:w="60"/>
        <w:gridCol w:w="118"/>
        <w:gridCol w:w="1341"/>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4" w:name="xdx_490_20251231_zQwoyb9XqtA3"/>
            <w:bookmarkEnd w:id="564"/>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5" w:name="xdx_49E_20260630_zfR7QU3v8xGi"/>
            <w:bookmarkEnd w:id="565"/>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bookmarkStart w:id="566" w:name="xdx_40E_eus-gaap--ShortTermBorrowings_iI"/>
            <w:bookmarkEnd w:id="566"/>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Agricultural Bank of China </w:t>
            </w:r>
            <w:bookmarkStart w:id="567" w:name="xdx_F42_zXAPb3NPdZX4"/>
            <w:bookmarkEnd w:id="56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8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75" w:type="dxa"/>
            <w:tcBorders/>
            <w:shd w:fill="CCEEFF" w:val="clear"/>
            <w:vAlign w:val="center"/>
          </w:tcPr>
          <w:p>
            <w:pPr>
              <w:pStyle w:val="TableContents"/>
              <w:bidi w:val="0"/>
              <w:spacing w:before="0" w:after="283"/>
              <w:jc w:val="left"/>
              <w:rPr/>
            </w:pPr>
            <w:r>
              <w:rPr/>
              <w:t> </w:t>
            </w:r>
            <w:bookmarkStart w:id="568" w:name="xdx_40A_eus-gaap--ShortTermBorrowings_iI"/>
            <w:bookmarkEnd w:id="568"/>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Bank of China </w:t>
            </w:r>
            <w:bookmarkStart w:id="569" w:name="xdx_F47_zHx3UwYM7RNb"/>
            <w:bookmarkEnd w:id="569"/>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75" w:type="dxa"/>
            <w:tcBorders/>
            <w:shd w:fill="FFFFFF" w:val="clear"/>
            <w:vAlign w:val="center"/>
          </w:tcPr>
          <w:p>
            <w:pPr>
              <w:pStyle w:val="TableContents"/>
              <w:bidi w:val="0"/>
              <w:spacing w:before="0" w:after="283"/>
              <w:jc w:val="left"/>
              <w:rPr/>
            </w:pPr>
            <w:r>
              <w:rPr/>
              <w:t> </w:t>
            </w:r>
            <w:bookmarkStart w:id="570" w:name="xdx_40F_eus-gaap--ShortTermBorrowings_iI"/>
            <w:bookmarkEnd w:id="570"/>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Industrial and Commercial Bank of China </w:t>
            </w:r>
            <w:bookmarkStart w:id="571" w:name="xdx_F45_z5h9bti7vFV1"/>
            <w:bookmarkEnd w:id="571"/>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572" w:name="xdx_404_eus-gaap--ShortTermBorrowings_iI"/>
            <w:bookmarkEnd w:id="572"/>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w:t>
            </w:r>
          </w:p>
        </w:tc>
        <w:tc>
          <w:tcPr>
            <w:tcW w:w="75" w:type="dxa"/>
            <w:tcBorders/>
            <w:shd w:fill="FFFFFF" w:val="clear"/>
            <w:vAlign w:val="center"/>
          </w:tcPr>
          <w:p>
            <w:pPr>
              <w:pStyle w:val="TableContents"/>
              <w:bidi w:val="0"/>
              <w:spacing w:before="0" w:after="283"/>
              <w:jc w:val="left"/>
              <w:rPr/>
            </w:pPr>
            <w:r>
              <w:rPr/>
              <w:t> </w:t>
            </w:r>
            <w:bookmarkStart w:id="573" w:name="xdx_401_eus-gaap--ShortTermBorrowings_iI"/>
            <w:bookmarkEnd w:id="573"/>
          </w:p>
        </w:tc>
      </w:tr>
      <w:tr>
        <w:trPr/>
        <w:tc>
          <w:tcPr>
            <w:tcW w:w="3695" w:type="dxa"/>
            <w:tcBorders/>
            <w:shd w:fill="FFFFFF" w:val="clear"/>
            <w:vAlign w:val="center"/>
          </w:tcPr>
          <w:p>
            <w:pPr>
              <w:pStyle w:val="TableContents"/>
              <w:bidi w:val="0"/>
              <w:spacing w:before="0" w:after="283"/>
              <w:jc w:val="left"/>
              <w:rPr>
                <w:b/>
              </w:rPr>
            </w:pPr>
            <w:r>
              <w:rPr>
                <w:b/>
              </w:rPr>
              <w:t>Short term borrowings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74" w:name="xdx_F04_zipqrT10DuN8"/>
            <w:bookmarkEnd w:id="574"/>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75" w:name="xdx_F12_zErUx0HMfu5g"/>
            <w:bookmarkEnd w:id="575"/>
            <w:r>
              <w:rPr>
                <w:rFonts w:ascii="Times New Roman;Times;Serif" w:hAnsi="Times New Roman;Times;Serif"/>
                <w:b w:val="false"/>
                <w:i w:val="false"/>
                <w:caps w:val="false"/>
                <w:smallCaps w:val="false"/>
                <w:sz w:val="20"/>
              </w:rPr>
              <w:t>On January 1, 2026, the Group entered into a loan agreement with Agricultural Bank of China to borrow RMB</w:t>
            </w:r>
            <w:bookmarkStart w:id="576" w:name="xdx_902_eus-gaap--ShortTermBorrowings_iI"/>
            <w:bookmarkEnd w:id="576"/>
            <w:r>
              <w:rPr>
                <w:rFonts w:ascii="Times New Roman;Times;Serif" w:hAnsi="Times New Roman;Times;Serif"/>
                <w:b w:val="false"/>
                <w:i w:val="false"/>
                <w:caps w:val="false"/>
                <w:smallCaps w:val="false"/>
                <w:sz w:val="20"/>
              </w:rPr>
              <w:t xml:space="preserve">20.0 million as working capital for </w:t>
            </w:r>
            <w:bookmarkStart w:id="577" w:name="xdx_90C_eus-gaap--ShortTermDebtTerms_c20"/>
            <w:bookmarkEnd w:id="577"/>
            <w:r>
              <w:rPr>
                <w:rFonts w:ascii="Times New Roman;Times;Serif" w:hAnsi="Times New Roman;Times;Serif"/>
                <w:b w:val="false"/>
                <w:i w:val="false"/>
                <w:caps w:val="false"/>
                <w:smallCaps w:val="false"/>
                <w:sz w:val="20"/>
              </w:rPr>
              <w:t xml:space="preserve">one year, with a maturity date of </w:t>
            </w:r>
            <w:bookmarkStart w:id="578" w:name="xdx_907_eus-gaap--DebtInstrumentMaturity"/>
            <w:bookmarkEnd w:id="578"/>
            <w:r>
              <w:rPr>
                <w:rFonts w:ascii="Times New Roman;Times;Serif" w:hAnsi="Times New Roman;Times;Serif"/>
                <w:b w:val="false"/>
                <w:i w:val="false"/>
                <w:caps w:val="false"/>
                <w:smallCaps w:val="false"/>
                <w:sz w:val="20"/>
              </w:rPr>
              <w:t xml:space="preserve">December 31, 2026. The loan has a fixed interest rate of </w:t>
            </w:r>
            <w:bookmarkStart w:id="579" w:name="xdx_902_eus-gaap--ShortTermDebtPercentag"/>
            <w:bookmarkEnd w:id="579"/>
            <w:r>
              <w:rPr>
                <w:rFonts w:ascii="Times New Roman;Times;Serif" w:hAnsi="Times New Roman;Times;Serif"/>
                <w:b w:val="false"/>
                <w:i w:val="false"/>
                <w:caps w:val="false"/>
                <w:smallCaps w:val="false"/>
                <w:sz w:val="20"/>
              </w:rPr>
              <w:t>2.25% per annum. On April 28, 2026, the Group entered into a loan agreement with Agricultural Bank of China to borrow RMB</w:t>
            </w:r>
            <w:bookmarkStart w:id="580" w:name="xdx_90F_eus-gaap--ShortTermBorrowings_iI"/>
            <w:bookmarkEnd w:id="580"/>
            <w:r>
              <w:rPr>
                <w:rFonts w:ascii="Times New Roman;Times;Serif" w:hAnsi="Times New Roman;Times;Serif"/>
                <w:b w:val="false"/>
                <w:i w:val="false"/>
                <w:caps w:val="false"/>
                <w:smallCaps w:val="false"/>
                <w:sz w:val="20"/>
              </w:rPr>
              <w:t xml:space="preserve">20.0 million as working capital for </w:t>
            </w:r>
            <w:bookmarkStart w:id="581" w:name="xdx_908_eus-gaap--ShortTermDebtTerms_c20"/>
            <w:bookmarkEnd w:id="581"/>
            <w:r>
              <w:rPr>
                <w:rFonts w:ascii="Times New Roman;Times;Serif" w:hAnsi="Times New Roman;Times;Serif"/>
                <w:b w:val="false"/>
                <w:i w:val="false"/>
                <w:caps w:val="false"/>
                <w:smallCaps w:val="false"/>
                <w:sz w:val="20"/>
              </w:rPr>
              <w:t xml:space="preserve">one year, with a maturity date of </w:t>
            </w:r>
            <w:bookmarkStart w:id="582" w:name="xdx_909_eus-gaap--DebtInstrumentMaturity"/>
            <w:bookmarkEnd w:id="582"/>
            <w:r>
              <w:rPr>
                <w:rFonts w:ascii="Times New Roman;Times;Serif" w:hAnsi="Times New Roman;Times;Serif"/>
                <w:b w:val="false"/>
                <w:i w:val="false"/>
                <w:caps w:val="false"/>
                <w:smallCaps w:val="false"/>
                <w:sz w:val="20"/>
              </w:rPr>
              <w:t xml:space="preserve">April 27, 2027. The loan has a fixed interest rate of </w:t>
            </w:r>
            <w:bookmarkStart w:id="583" w:name="xdx_903_eus-gaap--ShortTermDebtPercentag"/>
            <w:bookmarkEnd w:id="583"/>
            <w:r>
              <w:rPr>
                <w:rFonts w:ascii="Times New Roman;Times;Serif" w:hAnsi="Times New Roman;Times;Serif"/>
                <w:b w:val="false"/>
                <w:i w:val="false"/>
                <w:caps w:val="false"/>
                <w:smallCaps w:val="false"/>
                <w:sz w:val="20"/>
              </w:rPr>
              <w:t>2.31% per annum.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84" w:name="xdx_F05_zh4KbL9CiuIh"/>
            <w:bookmarkEnd w:id="584"/>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85" w:name="xdx_F1E_zI5KkGTGPkp5"/>
            <w:bookmarkEnd w:id="585"/>
            <w:r>
              <w:rPr>
                <w:rFonts w:ascii="Times New Roman;Times;Serif" w:hAnsi="Times New Roman;Times;Serif"/>
                <w:b w:val="false"/>
                <w:i w:val="false"/>
                <w:caps w:val="false"/>
                <w:smallCaps w:val="false"/>
                <w:sz w:val="20"/>
              </w:rPr>
              <w:t>On January 8, 2025, the Group entered into a loan agreement with Bank of China to borrow RMB</w:t>
            </w:r>
            <w:bookmarkStart w:id="586" w:name="xdx_90D_eus-gaap--ShortTermBorrowings_iI"/>
            <w:bookmarkEnd w:id="586"/>
            <w:r>
              <w:rPr>
                <w:rFonts w:ascii="Times New Roman;Times;Serif" w:hAnsi="Times New Roman;Times;Serif"/>
                <w:b w:val="false"/>
                <w:i w:val="false"/>
                <w:caps w:val="false"/>
                <w:smallCaps w:val="false"/>
                <w:sz w:val="20"/>
              </w:rPr>
              <w:t xml:space="preserve">30.0 million as working capital for </w:t>
            </w:r>
            <w:bookmarkStart w:id="587" w:name="xdx_900_eus-gaap--ShortTermDebtTerms_c20"/>
            <w:bookmarkEnd w:id="587"/>
            <w:r>
              <w:rPr>
                <w:rFonts w:ascii="Times New Roman;Times;Serif" w:hAnsi="Times New Roman;Times;Serif"/>
                <w:b w:val="false"/>
                <w:i w:val="false"/>
                <w:caps w:val="false"/>
                <w:smallCaps w:val="false"/>
                <w:sz w:val="20"/>
              </w:rPr>
              <w:t xml:space="preserve">one year. The loan was withdrawn on January 15, 2025 and as a maturity date in </w:t>
            </w:r>
            <w:bookmarkStart w:id="588" w:name="xdx_905_eus-gaap--DebtInstrumentMaturity"/>
            <w:bookmarkEnd w:id="588"/>
            <w:r>
              <w:rPr>
                <w:rFonts w:ascii="Times New Roman;Times;Serif" w:hAnsi="Times New Roman;Times;Serif"/>
                <w:b w:val="false"/>
                <w:i w:val="false"/>
                <w:caps w:val="false"/>
                <w:smallCaps w:val="false"/>
                <w:sz w:val="20"/>
              </w:rPr>
              <w:t xml:space="preserve">January 15, 2026. The loan has a fixed interest rate of </w:t>
            </w:r>
            <w:bookmarkStart w:id="589" w:name="xdx_90E_eus-gaap--ShortTermDebtPercentag"/>
            <w:bookmarkEnd w:id="589"/>
            <w:r>
              <w:rPr>
                <w:rFonts w:ascii="Times New Roman;Times;Serif" w:hAnsi="Times New Roman;Times;Serif"/>
                <w:b w:val="false"/>
                <w:i w:val="false"/>
                <w:caps w:val="false"/>
                <w:smallCaps w:val="false"/>
                <w:sz w:val="20"/>
              </w:rPr>
              <w:t>2.85% per annum. The loan was fully repaid upon maturity.</w:t>
            </w:r>
          </w:p>
        </w:tc>
      </w:tr>
    </w:tbl>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Group entered into a loan agreement with Bank of China to borrow RMB</w:t>
      </w:r>
      <w:bookmarkStart w:id="590" w:name="xdx_903_eus-gaap--ShortTermBorrowings_iI"/>
      <w:bookmarkEnd w:id="590"/>
      <w:r>
        <w:rPr>
          <w:rFonts w:ascii="Times New Roman;Times;Serif" w:hAnsi="Times New Roman;Times;Serif"/>
          <w:b w:val="false"/>
          <w:i w:val="false"/>
          <w:caps w:val="false"/>
          <w:smallCaps w:val="false"/>
          <w:sz w:val="20"/>
        </w:rPr>
        <w:t xml:space="preserve">10.0 million as working capital for </w:t>
      </w:r>
      <w:bookmarkStart w:id="591" w:name="xdx_90F_eus-gaap--ShortTermDebtTerms_c20"/>
      <w:bookmarkEnd w:id="591"/>
      <w:r>
        <w:rPr>
          <w:rFonts w:ascii="Times New Roman;Times;Serif" w:hAnsi="Times New Roman;Times;Serif"/>
          <w:b w:val="false"/>
          <w:i w:val="false"/>
          <w:caps w:val="false"/>
          <w:smallCaps w:val="false"/>
          <w:sz w:val="20"/>
        </w:rPr>
        <w:t xml:space="preserve">one year, with a maturity date of </w:t>
      </w:r>
      <w:bookmarkStart w:id="592" w:name="xdx_908_eus-gaap--DebtInstrumentMaturity"/>
      <w:bookmarkEnd w:id="592"/>
      <w:r>
        <w:rPr>
          <w:rFonts w:ascii="Times New Roman;Times;Serif" w:hAnsi="Times New Roman;Times;Serif"/>
          <w:b w:val="false"/>
          <w:i w:val="false"/>
          <w:caps w:val="false"/>
          <w:smallCaps w:val="false"/>
          <w:sz w:val="20"/>
        </w:rPr>
        <w:t xml:space="preserve">January 21, 2027. The loan has a fixed interest rate of </w:t>
      </w:r>
      <w:bookmarkStart w:id="593" w:name="xdx_906_eus-gaap--ShortTermDebtPercentag"/>
      <w:bookmarkEnd w:id="593"/>
      <w:r>
        <w:rPr>
          <w:rFonts w:ascii="Times New Roman;Times;Serif" w:hAnsi="Times New Roman;Times;Serif"/>
          <w:b w:val="false"/>
          <w:i w:val="false"/>
          <w:caps w:val="false"/>
          <w:smallCaps w:val="false"/>
          <w:sz w:val="20"/>
        </w:rPr>
        <w:t>2.30% per annum.</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94" w:name="xdx_F0B_zhUVy7KSaxA3"/>
            <w:bookmarkEnd w:id="594"/>
            <w:r>
              <w:rPr>
                <w:rFonts w:ascii="Times New Roman;Times;Serif" w:hAnsi="Times New Roman;Times;Serif"/>
                <w:b w:val="false"/>
                <w:i w:val="false"/>
                <w:caps w:val="false"/>
                <w:smallCaps w:val="false"/>
                <w:sz w:val="20"/>
              </w:rPr>
              <w:t>(3)</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95" w:name="xdx_F1F_zbxfJyUK8vKb"/>
            <w:bookmarkEnd w:id="595"/>
            <w:r>
              <w:rPr>
                <w:rFonts w:ascii="Times New Roman;Times;Serif" w:hAnsi="Times New Roman;Times;Serif"/>
                <w:b w:val="false"/>
                <w:i w:val="false"/>
                <w:caps w:val="false"/>
                <w:smallCaps w:val="false"/>
                <w:sz w:val="20"/>
              </w:rPr>
              <w:t>On March 25, 2025, the Group entered into a loan agreement with Industrial and Commercial Bank to borrow RMB</w:t>
            </w:r>
            <w:bookmarkStart w:id="596" w:name="xdx_908_eus-gaap--ShortTermBorrowings_iI"/>
            <w:bookmarkEnd w:id="596"/>
            <w:r>
              <w:rPr>
                <w:rFonts w:ascii="Times New Roman;Times;Serif" w:hAnsi="Times New Roman;Times;Serif"/>
                <w:b w:val="false"/>
                <w:i w:val="false"/>
                <w:caps w:val="false"/>
                <w:smallCaps w:val="false"/>
                <w:sz w:val="20"/>
              </w:rPr>
              <w:t xml:space="preserve">10.0 million as working capital for </w:t>
            </w:r>
            <w:bookmarkStart w:id="597" w:name="xdx_90C_eus-gaap--ShortTermDebtTerms_c20"/>
            <w:bookmarkEnd w:id="597"/>
            <w:r>
              <w:rPr>
                <w:rFonts w:ascii="Times New Roman;Times;Serif" w:hAnsi="Times New Roman;Times;Serif"/>
                <w:b w:val="false"/>
                <w:i w:val="false"/>
                <w:caps w:val="false"/>
                <w:smallCaps w:val="false"/>
                <w:sz w:val="20"/>
              </w:rPr>
              <w:t xml:space="preserve">one year, with a maturity date of </w:t>
            </w:r>
            <w:bookmarkStart w:id="598" w:name="xdx_902_eus-gaap--DebtInstrumentMaturity"/>
            <w:bookmarkEnd w:id="598"/>
            <w:r>
              <w:rPr>
                <w:rFonts w:ascii="Times New Roman;Times;Serif" w:hAnsi="Times New Roman;Times;Serif"/>
                <w:b w:val="false"/>
                <w:i w:val="false"/>
                <w:caps w:val="false"/>
                <w:smallCaps w:val="false"/>
                <w:sz w:val="20"/>
              </w:rPr>
              <w:t xml:space="preserve">March 26, 2026. These loans have a fixed interest rate of </w:t>
            </w:r>
            <w:bookmarkStart w:id="599" w:name="xdx_90F_eus-gaap--ShortTermDebtPercentag"/>
            <w:bookmarkEnd w:id="599"/>
            <w:r>
              <w:rPr>
                <w:rFonts w:ascii="Times New Roman;Times;Serif" w:hAnsi="Times New Roman;Times;Serif"/>
                <w:b w:val="false"/>
                <w:i w:val="false"/>
                <w:caps w:val="false"/>
                <w:smallCaps w:val="false"/>
                <w:sz w:val="20"/>
              </w:rPr>
              <w:t>2.75% per annum. The loan was fully repaid upon maturity.</w:t>
            </w:r>
          </w:p>
        </w:tc>
      </w:tr>
    </w:tbl>
    <w:p>
      <w:pPr>
        <w:pStyle w:val="TextBody"/>
        <w:bidi w:val="0"/>
        <w:spacing w:before="0" w:after="0"/>
        <w:ind w:left="0" w:right="0" w:hanging="0"/>
        <w:jc w:val="left"/>
        <w:rPr>
          <w:caps w:val="false"/>
          <w:smallCaps w:val="false"/>
        </w:rPr>
      </w:pPr>
      <w:bookmarkStart w:id="600" w:name="xdx_8A4_zg84N3yT8ui2"/>
      <w:bookmarkEnd w:id="60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24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BORROWINGS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incurred interest expenses for short-term borrowings of RMB</w:t>
      </w:r>
      <w:bookmarkStart w:id="601" w:name="xdx_90C_eus-gaap--InterestExpenseShortTe"/>
      <w:bookmarkEnd w:id="601"/>
      <w:r>
        <w:rPr>
          <w:rFonts w:ascii="Times New Roman;Times;Serif" w:hAnsi="Times New Roman;Times;Serif"/>
          <w:b w:val="false"/>
          <w:i w:val="false"/>
          <w:caps w:val="false"/>
          <w:smallCaps w:val="false"/>
          <w:sz w:val="20"/>
        </w:rPr>
        <w:t>602 and RMB</w:t>
      </w:r>
      <w:bookmarkStart w:id="602" w:name="xdx_905_eus-gaap--InterestExpenseShortTe"/>
      <w:bookmarkEnd w:id="602"/>
      <w:r>
        <w:rPr>
          <w:rFonts w:ascii="Times New Roman;Times;Serif" w:hAnsi="Times New Roman;Times;Serif"/>
          <w:b w:val="false"/>
          <w:i w:val="false"/>
          <w:caps w:val="false"/>
          <w:smallCaps w:val="false"/>
          <w:sz w:val="20"/>
        </w:rPr>
        <w:t xml:space="preserve">510 for the six months ended June 30, 2025 and 2026, respectively. The annual weighted average interest rates were </w:t>
      </w:r>
      <w:bookmarkStart w:id="603" w:name="xdx_908_eus-gaap--ShortTermDebtWeightedA"/>
      <w:bookmarkEnd w:id="603"/>
      <w:r>
        <w:rPr>
          <w:rFonts w:ascii="Times New Roman;Times;Serif" w:hAnsi="Times New Roman;Times;Serif"/>
          <w:b w:val="false"/>
          <w:i w:val="false"/>
          <w:caps w:val="false"/>
          <w:smallCaps w:val="false"/>
          <w:sz w:val="20"/>
        </w:rPr>
        <w:t xml:space="preserve">3.64% and </w:t>
      </w:r>
      <w:bookmarkStart w:id="604" w:name="xdx_90B_eus-gaap--ShortTermDebtWeightedA"/>
      <w:bookmarkEnd w:id="604"/>
      <w:r>
        <w:rPr>
          <w:rFonts w:ascii="Times New Roman;Times;Serif" w:hAnsi="Times New Roman;Times;Serif"/>
          <w:b w:val="false"/>
          <w:i w:val="false"/>
          <w:caps w:val="false"/>
          <w:smallCaps w:val="false"/>
          <w:sz w:val="20"/>
        </w:rPr>
        <w:t>2.84% for the six months ended June 30, 2025 and 2026, respectively.</w:t>
      </w:r>
    </w:p>
    <w:p>
      <w:pPr>
        <w:pStyle w:val="TextBody"/>
        <w:bidi w:val="0"/>
        <w:spacing w:before="0" w:after="0"/>
        <w:ind w:left="0" w:right="0" w:hanging="0"/>
        <w:jc w:val="left"/>
        <w:rPr>
          <w:caps w:val="false"/>
          <w:smallCaps w:val="false"/>
        </w:rPr>
      </w:pPr>
      <w:bookmarkStart w:id="605" w:name="xdx_895_eus-gaap--ScheduleOfDebtInstrume"/>
      <w:bookmarkEnd w:id="605"/>
      <w:r>
        <w:rPr>
          <w:caps w:val="false"/>
          <w:smallCaps w:val="false"/>
        </w:rPr>
        <w:t> </w:t>
      </w:r>
      <w:bookmarkStart w:id="606" w:name="xdx_8B1_z7aZfbSRZ5R4"/>
      <w:bookmarkEnd w:id="606"/>
      <w:r>
        <w:rPr>
          <w:rFonts w:ascii="Times New Roman;Times;Serif" w:hAnsi="Times New Roman;Times;Serif"/>
          <w:b w:val="false"/>
          <w:i w:val="false"/>
          <w:caps w:val="false"/>
          <w:smallCaps w:val="false"/>
          <w:sz w:val="20"/>
        </w:rPr>
        <w:t>SCHEDULE OF LONG-TERM BORROWINGS </w:t>
      </w:r>
    </w:p>
    <w:tbl>
      <w:tblPr>
        <w:tblW w:w="7808" w:type="dxa"/>
        <w:jc w:val="left"/>
        <w:tblInd w:w="0" w:type="dxa"/>
        <w:tblLayout w:type="fixed"/>
        <w:tblCellMar>
          <w:top w:w="0" w:type="dxa"/>
          <w:left w:w="0" w:type="dxa"/>
          <w:bottom w:w="0" w:type="dxa"/>
          <w:right w:w="0" w:type="dxa"/>
        </w:tblCellMar>
      </w:tblPr>
      <w:tblGrid>
        <w:gridCol w:w="4025"/>
        <w:gridCol w:w="60"/>
        <w:gridCol w:w="145"/>
        <w:gridCol w:w="1854"/>
        <w:gridCol w:w="95"/>
        <w:gridCol w:w="60"/>
        <w:gridCol w:w="107"/>
        <w:gridCol w:w="1352"/>
        <w:gridCol w:w="11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7" w:name="xdx_49F_20251231_zmKYo9b5e7X4"/>
            <w:bookmarkEnd w:id="607"/>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8" w:name="xdx_490_20260630_zv4bHSw37z28"/>
            <w:bookmarkEnd w:id="608"/>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11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609" w:name="xdx_407_eus-gaap--LongTermDebt_iI_pn3n3_"/>
            <w:bookmarkEnd w:id="609"/>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Agricultural Bank of China</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64,146</w:t>
            </w:r>
          </w:p>
        </w:tc>
        <w:tc>
          <w:tcPr>
            <w:tcW w:w="110" w:type="dxa"/>
            <w:tcBorders/>
            <w:shd w:fill="CCEEFF" w:val="clear"/>
            <w:vAlign w:val="center"/>
          </w:tcPr>
          <w:p>
            <w:pPr>
              <w:pStyle w:val="TableContents"/>
              <w:bidi w:val="0"/>
              <w:spacing w:before="0" w:after="283"/>
              <w:jc w:val="left"/>
              <w:rPr/>
            </w:pPr>
            <w:r>
              <w:rPr/>
              <w:t> </w:t>
            </w:r>
            <w:bookmarkStart w:id="610" w:name="xdx_404_eus-gaap--LongTermDebt_iI_pn3n3_"/>
            <w:bookmarkEnd w:id="610"/>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64,146</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rFonts w:eastAsia="Times New Roman;Times;Serif"/>
              </w:rPr>
            </w:pPr>
            <w:r>
              <w:rPr>
                <w:rFonts w:eastAsia="Times New Roman;Times;Serif"/>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11" w:name="xdx_40E_ecustom--LongTermDebtCurrentPort"/>
            <w:bookmarkEnd w:id="611"/>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long-term borrowing-current portion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25" w:type="dxa"/>
            <w:tcBorders/>
            <w:shd w:fill="CCEEFF" w:val="clear"/>
            <w:vAlign w:val="center"/>
          </w:tcPr>
          <w:p>
            <w:pPr>
              <w:pStyle w:val="TableContents"/>
              <w:bidi w:val="0"/>
              <w:spacing w:before="0" w:after="283"/>
              <w:jc w:val="left"/>
              <w:rPr>
                <w:rFonts w:eastAsia="Times New Roman;Times;Serif"/>
              </w:rPr>
            </w:pPr>
            <w:r>
              <w:rPr>
                <w:rFonts w:eastAsia="Times New Roman;Times;Serif"/>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12" w:name="xdx_40C_eus-gaap--LongTermDebtNoncurrent"/>
            <w:bookmarkEnd w:id="612"/>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borrowing</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39,187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13" w:name="xdx_8AA_zTE1U9SDmB5j"/>
      <w:bookmarkEnd w:id="613"/>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2021, The Group entered into a line of credit agreement with Agricultural Bank of China, which is used for the development of Viomi Technology Park, a comprehensive high-tech industrial campus, which was completed in the second half of 2023. The line of credit was effective from March 8, 2021 to March 7, 2026 with a credit limit of RMB</w:t>
      </w:r>
      <w:bookmarkStart w:id="614" w:name="xdx_903_eus-gaap--ProceedsFromLongTermLi"/>
      <w:bookmarkEnd w:id="614"/>
      <w:r>
        <w:rPr>
          <w:rFonts w:ascii="Times New Roman;Times;Serif" w:hAnsi="Times New Roman;Times;Serif"/>
          <w:b w:val="false"/>
          <w:i w:val="false"/>
          <w:caps w:val="false"/>
          <w:smallCaps w:val="false"/>
          <w:sz w:val="20"/>
        </w:rPr>
        <w:t>310,000. On March 7, 2026, the Group renewed the line of credit agreement. The renewed line of credit is effective from March 7, 2026 to March 6, 2031 and remains the credit limit of RMB</w:t>
      </w:r>
      <w:bookmarkStart w:id="615" w:name="xdx_901_eus-gaap--RepaymentsOfLinesOfCre"/>
      <w:bookmarkEnd w:id="615"/>
      <w:r>
        <w:rPr>
          <w:rFonts w:ascii="Times New Roman;Times;Serif" w:hAnsi="Times New Roman;Times;Serif"/>
          <w:b w:val="false"/>
          <w:i w:val="false"/>
          <w:caps w:val="false"/>
          <w:smallCaps w:val="false"/>
          <w:sz w:val="20"/>
        </w:rPr>
        <w:t>310,000. The loan is guaranteed by Foshan Viomi, a related party of the Group.</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borrowed, in aggregate, a total of RMB</w:t>
      </w:r>
      <w:bookmarkStart w:id="616" w:name="xdx_901_eus-gaap--ProceedsFromLongTermLi"/>
      <w:bookmarkEnd w:id="616"/>
      <w:r>
        <w:rPr>
          <w:rFonts w:ascii="Times New Roman;Times;Serif" w:hAnsi="Times New Roman;Times;Serif"/>
          <w:b w:val="false"/>
          <w:i w:val="false"/>
          <w:caps w:val="false"/>
          <w:smallCaps w:val="false"/>
          <w:sz w:val="20"/>
        </w:rPr>
        <w:t xml:space="preserve">193,489 under the line of credit, with interest rate ranging from </w:t>
      </w:r>
      <w:bookmarkStart w:id="617" w:name="xdx_906_eus-gaap--LineOfCreditFacilityIn"/>
      <w:bookmarkEnd w:id="617"/>
      <w:r>
        <w:rPr>
          <w:rFonts w:ascii="Times New Roman;Times;Serif" w:hAnsi="Times New Roman;Times;Serif"/>
          <w:b w:val="false"/>
          <w:i w:val="false"/>
          <w:caps w:val="false"/>
          <w:smallCaps w:val="false"/>
          <w:sz w:val="20"/>
        </w:rPr>
        <w:t xml:space="preserve">2.75% to </w:t>
      </w:r>
      <w:bookmarkStart w:id="618" w:name="xdx_907_eus-gaap--LineOfCreditFacilityIn"/>
      <w:bookmarkEnd w:id="618"/>
      <w:r>
        <w:rPr>
          <w:rFonts w:ascii="Times New Roman;Times;Serif" w:hAnsi="Times New Roman;Times;Serif"/>
          <w:b w:val="false"/>
          <w:i w:val="false"/>
          <w:caps w:val="false"/>
          <w:smallCaps w:val="false"/>
          <w:sz w:val="20"/>
        </w:rPr>
        <w:t>2.90% per annum. The Group repaid a total of RMB</w:t>
      </w:r>
      <w:bookmarkStart w:id="619" w:name="xdx_908_eus-gaap--RepaymentsOfLongTermLi"/>
      <w:bookmarkEnd w:id="619"/>
      <w:r>
        <w:rPr>
          <w:rFonts w:ascii="Times New Roman;Times;Serif" w:hAnsi="Times New Roman;Times;Serif"/>
          <w:b w:val="false"/>
          <w:i w:val="false"/>
          <w:caps w:val="false"/>
          <w:smallCaps w:val="false"/>
          <w:sz w:val="20"/>
        </w:rPr>
        <w:t>129,343, and the outstanding balance of long-term borrowings was RMB</w:t>
      </w:r>
      <w:bookmarkStart w:id="620" w:name="xdx_90A_eus-gaap--LineOfCredit_iI_pn3n3_"/>
      <w:bookmarkEnd w:id="620"/>
      <w:r>
        <w:rPr>
          <w:rFonts w:ascii="Times New Roman;Times;Serif" w:hAnsi="Times New Roman;Times;Serif"/>
          <w:b w:val="false"/>
          <w:i w:val="false"/>
          <w:caps w:val="false"/>
          <w:smallCaps w:val="false"/>
          <w:sz w:val="20"/>
        </w:rPr>
        <w:t>64,146 as of June 30, 2026. As of June 30, 2026, the Group had unutilized lines of credit of RMB</w:t>
      </w:r>
      <w:bookmarkStart w:id="621" w:name="xdx_90A_eus-gaap--LineOfCreditFacilityRe"/>
      <w:bookmarkEnd w:id="621"/>
      <w:r>
        <w:rPr>
          <w:rFonts w:ascii="Times New Roman;Times;Serif" w:hAnsi="Times New Roman;Times;Serif"/>
          <w:b w:val="false"/>
          <w:i w:val="false"/>
          <w:caps w:val="false"/>
          <w:smallCaps w:val="false"/>
          <w:sz w:val="20"/>
        </w:rPr>
        <w:t>116,511 under the line of credit agreement with Agricultural Bank of China.</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22" w:name="xdx_892_eus-gaap--ScheduleOfMaturitiesOf"/>
      <w:bookmarkEnd w:id="622"/>
      <w:r>
        <w:rPr>
          <w:rFonts w:ascii="Times New Roman;Times;Serif" w:hAnsi="Times New Roman;Times;Serif"/>
          <w:b w:val="false"/>
          <w:i w:val="false"/>
          <w:caps w:val="false"/>
          <w:smallCaps w:val="false"/>
          <w:sz w:val="20"/>
        </w:rPr>
        <w:t>The future maturities of long-term borrowings as of June 30, 2026 were as follows:</w:t>
      </w:r>
    </w:p>
    <w:p>
      <w:pPr>
        <w:pStyle w:val="TextBody"/>
        <w:bidi w:val="0"/>
        <w:spacing w:before="0" w:after="0"/>
        <w:ind w:left="720" w:right="0" w:hanging="0"/>
        <w:jc w:val="both"/>
        <w:rPr>
          <w:caps w:val="false"/>
          <w:smallCaps w:val="false"/>
        </w:rPr>
      </w:pPr>
      <w:r>
        <w:rPr>
          <w:caps w:val="false"/>
          <w:smallCaps w:val="false"/>
        </w:rPr>
        <w:t> </w:t>
      </w:r>
      <w:bookmarkStart w:id="623" w:name="xdx_8BA_zMW4tBvedWba"/>
      <w:bookmarkEnd w:id="623"/>
      <w:r>
        <w:rPr>
          <w:rFonts w:ascii="Times New Roman;Times;Serif" w:hAnsi="Times New Roman;Times;Serif"/>
          <w:b w:val="false"/>
          <w:i w:val="false"/>
          <w:caps w:val="false"/>
          <w:smallCaps w:val="false"/>
          <w:sz w:val="20"/>
        </w:rPr>
        <w:t>SCHEDULE OF FUTURE MATURITIES OF LONG-TERM BORROWINGS </w:t>
      </w:r>
    </w:p>
    <w:tbl>
      <w:tblPr>
        <w:tblW w:w="3745" w:type="dxa"/>
        <w:jc w:val="left"/>
        <w:tblInd w:w="0" w:type="dxa"/>
        <w:tblLayout w:type="fixed"/>
        <w:tblCellMar>
          <w:top w:w="0" w:type="dxa"/>
          <w:left w:w="0" w:type="dxa"/>
          <w:bottom w:w="0" w:type="dxa"/>
          <w:right w:w="0" w:type="dxa"/>
        </w:tblCellMar>
      </w:tblPr>
      <w:tblGrid>
        <w:gridCol w:w="2870"/>
        <w:gridCol w:w="60"/>
        <w:gridCol w:w="60"/>
        <w:gridCol w:w="680"/>
        <w:gridCol w:w="75"/>
      </w:tblGrid>
      <w:tr>
        <w:trPr/>
        <w:tc>
          <w:tcPr>
            <w:tcW w:w="28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24" w:name="xdx_49E_20260630_zv04DnIN9rx9"/>
            <w:bookmarkEnd w:id="624"/>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bookmarkStart w:id="625" w:name="xdx_406_eus-gaap--LongTermDebtMaturities"/>
            <w:bookmarkEnd w:id="625"/>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in fiscal year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12,480</w:t>
            </w:r>
          </w:p>
        </w:tc>
        <w:tc>
          <w:tcPr>
            <w:tcW w:w="75" w:type="dxa"/>
            <w:tcBorders/>
            <w:shd w:fill="CCEEFF" w:val="clear"/>
            <w:vAlign w:val="center"/>
          </w:tcPr>
          <w:p>
            <w:pPr>
              <w:pStyle w:val="TableContents"/>
              <w:bidi w:val="0"/>
              <w:spacing w:before="0" w:after="283"/>
              <w:jc w:val="left"/>
              <w:rPr/>
            </w:pPr>
            <w:r>
              <w:rPr/>
              <w:t> </w:t>
            </w:r>
            <w:bookmarkStart w:id="626" w:name="xdx_406_eus-gaap--LongTermDebtMaturities"/>
            <w:bookmarkEnd w:id="626"/>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24,959</w:t>
            </w:r>
          </w:p>
        </w:tc>
        <w:tc>
          <w:tcPr>
            <w:tcW w:w="75" w:type="dxa"/>
            <w:tcBorders/>
            <w:shd w:fill="FFFFFF" w:val="clear"/>
            <w:vAlign w:val="center"/>
          </w:tcPr>
          <w:p>
            <w:pPr>
              <w:pStyle w:val="TableContents"/>
              <w:bidi w:val="0"/>
              <w:spacing w:before="0" w:after="283"/>
              <w:jc w:val="left"/>
              <w:rPr/>
            </w:pPr>
            <w:r>
              <w:rPr/>
              <w:t> </w:t>
            </w:r>
            <w:bookmarkStart w:id="627" w:name="xdx_405_eus-gaap--LongTermDebtMaturities"/>
            <w:bookmarkEnd w:id="627"/>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24,959</w:t>
            </w:r>
          </w:p>
        </w:tc>
        <w:tc>
          <w:tcPr>
            <w:tcW w:w="75" w:type="dxa"/>
            <w:tcBorders/>
            <w:shd w:fill="CCEEFF" w:val="clear"/>
            <w:vAlign w:val="center"/>
          </w:tcPr>
          <w:p>
            <w:pPr>
              <w:pStyle w:val="TableContents"/>
              <w:bidi w:val="0"/>
              <w:spacing w:before="0" w:after="283"/>
              <w:jc w:val="left"/>
              <w:rPr/>
            </w:pPr>
            <w:r>
              <w:rPr/>
              <w:t> </w:t>
            </w:r>
            <w:bookmarkStart w:id="628" w:name="xdx_401_eus-gaap--LongTermDebtMaturities"/>
            <w:bookmarkEnd w:id="628"/>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w:t>
            </w:r>
          </w:p>
        </w:tc>
        <w:tc>
          <w:tcPr>
            <w:tcW w:w="75" w:type="dxa"/>
            <w:tcBorders/>
            <w:shd w:fill="FFFFFF" w:val="clear"/>
            <w:vAlign w:val="center"/>
          </w:tcPr>
          <w:p>
            <w:pPr>
              <w:pStyle w:val="TableContents"/>
              <w:bidi w:val="0"/>
              <w:spacing w:before="0" w:after="283"/>
              <w:jc w:val="left"/>
              <w:rPr/>
            </w:pPr>
            <w:r>
              <w:rPr/>
              <w:t> </w:t>
            </w:r>
            <w:bookmarkStart w:id="629" w:name="xdx_401_eus-gaap--LongTermDebtMaturities"/>
            <w:bookmarkEnd w:id="629"/>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w:t>
            </w:r>
          </w:p>
        </w:tc>
        <w:tc>
          <w:tcPr>
            <w:tcW w:w="75" w:type="dxa"/>
            <w:tcBorders/>
            <w:shd w:fill="CCEEFF" w:val="clear"/>
            <w:vAlign w:val="center"/>
          </w:tcPr>
          <w:p>
            <w:pPr>
              <w:pStyle w:val="TableContents"/>
              <w:bidi w:val="0"/>
              <w:spacing w:before="0" w:after="283"/>
              <w:jc w:val="left"/>
              <w:rPr/>
            </w:pPr>
            <w:r>
              <w:rPr/>
              <w:t> </w:t>
            </w:r>
            <w:bookmarkStart w:id="630" w:name="xdx_40F_eus-gaap--LongTermDebt_iTI_pn3n3"/>
            <w:bookmarkEnd w:id="630"/>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long-term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64,146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1" w:name="xdx_8A2_zbpd3mPqw2Y4"/>
      <w:bookmarkEnd w:id="63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building properties with net book values of RMB</w:t>
      </w:r>
      <w:bookmarkStart w:id="632" w:name="xdx_90A_eus-gaap--PropertyPlantAndEquipm"/>
      <w:bookmarkEnd w:id="632"/>
      <w:r>
        <w:rPr>
          <w:rFonts w:ascii="Times New Roman;Times;Serif" w:hAnsi="Times New Roman;Times;Serif"/>
          <w:b w:val="false"/>
          <w:i w:val="false"/>
          <w:caps w:val="false"/>
          <w:smallCaps w:val="false"/>
          <w:sz w:val="20"/>
        </w:rPr>
        <w:t>227,140 and land use right with net book values of RMB</w:t>
      </w:r>
      <w:bookmarkStart w:id="633" w:name="xdx_901_ecustom--LandUseRightsNet_iI_pn3"/>
      <w:bookmarkEnd w:id="633"/>
      <w:r>
        <w:rPr>
          <w:rFonts w:ascii="Times New Roman;Times;Serif" w:hAnsi="Times New Roman;Times;Serif"/>
          <w:b w:val="false"/>
          <w:i w:val="false"/>
          <w:caps w:val="false"/>
          <w:smallCaps w:val="false"/>
          <w:sz w:val="20"/>
        </w:rPr>
        <w:t>55,995 were pledged as collateral to secure these loans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completed the construction in the second half of 2023, and prior to the completion, the Group capitalized the interest expense as cost of the assets, and after the assets was ready for its intended use, the Group expenses off the interest expenses. The Group recorded interest expenses of RMB</w:t>
      </w:r>
      <w:bookmarkStart w:id="634" w:name="xdx_90C_eus-gaap--InterestExpenseBorrowi"/>
      <w:bookmarkEnd w:id="634"/>
      <w:r>
        <w:rPr>
          <w:rFonts w:ascii="Times New Roman;Times;Serif" w:hAnsi="Times New Roman;Times;Serif"/>
          <w:b w:val="false"/>
          <w:i w:val="false"/>
          <w:caps w:val="false"/>
          <w:smallCaps w:val="false"/>
          <w:sz w:val="20"/>
        </w:rPr>
        <w:t>912 and RMB</w:t>
      </w:r>
      <w:bookmarkStart w:id="635" w:name="xdx_90F_eus-gaap--InterestExpenseBorrowi"/>
      <w:bookmarkEnd w:id="635"/>
      <w:r>
        <w:rPr>
          <w:rFonts w:ascii="Times New Roman;Times;Serif" w:hAnsi="Times New Roman;Times;Serif"/>
          <w:b w:val="false"/>
          <w:i w:val="false"/>
          <w:caps w:val="false"/>
          <w:smallCaps w:val="false"/>
          <w:sz w:val="20"/>
        </w:rPr>
        <w:t>1,081 for the six months ended June 30, 2025 and 2026, respectively.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bookmarkStart w:id="636" w:name="xdx_807_ecustom--AccruedLiabilitiesAndOt"/>
      <w:bookmarkEnd w:id="636"/>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90"/>
        <w:gridCol w:w="449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4490" w:type="dxa"/>
            <w:tcBorders/>
            <w:vAlign w:val="center"/>
          </w:tcPr>
          <w:p>
            <w:pPr>
              <w:pStyle w:val="TableContents"/>
              <w:bidi w:val="0"/>
              <w:spacing w:before="0" w:after="283"/>
              <w:jc w:val="both"/>
              <w:rPr>
                <w:rFonts w:ascii="Times New Roman;Times;Serif" w:hAnsi="Times New Roman;Times;Serif"/>
                <w:b/>
                <w:sz w:val="20"/>
              </w:rPr>
            </w:pPr>
            <w:bookmarkStart w:id="637" w:name="xdx_829_z2sDGQOpcn6d"/>
            <w:bookmarkEnd w:id="637"/>
            <w:r>
              <w:rPr>
                <w:rFonts w:ascii="Times New Roman;Times;Serif" w:hAnsi="Times New Roman;Times;Serif"/>
                <w:b/>
                <w:sz w:val="20"/>
              </w:rPr>
              <w:t>ACCRUED EXPENSES AND OTHER LIABILITIES</w:t>
            </w:r>
          </w:p>
        </w:tc>
      </w:tr>
    </w:tbl>
    <w:p>
      <w:pPr>
        <w:pStyle w:val="TextBody"/>
        <w:bidi w:val="0"/>
        <w:spacing w:before="0" w:after="0"/>
        <w:ind w:left="600" w:right="0" w:hanging="0"/>
        <w:jc w:val="left"/>
        <w:rPr>
          <w:rFonts w:ascii="Times New Roman;Times;Serif" w:hAnsi="Times New Roman;Times;Serif"/>
          <w:b w:val="false"/>
          <w:i w:val="false"/>
          <w:caps w:val="false"/>
          <w:smallCaps w:val="false"/>
          <w:sz w:val="20"/>
        </w:rPr>
      </w:pPr>
      <w:bookmarkStart w:id="638" w:name="xdx_8BD_zpQVAtvwVAHa"/>
      <w:bookmarkStart w:id="639" w:name="xdx_893_eus-gaap--ScheduleOfAccountsPaya"/>
      <w:bookmarkEnd w:id="638"/>
      <w:bookmarkEnd w:id="639"/>
      <w:r>
        <w:rPr>
          <w:rFonts w:ascii="Times New Roman;Times;Serif" w:hAnsi="Times New Roman;Times;Serif"/>
          <w:b w:val="false"/>
          <w:i w:val="false"/>
          <w:caps w:val="false"/>
          <w:smallCaps w:val="false"/>
          <w:sz w:val="20"/>
        </w:rPr>
        <w:t>SCHEDULE OF ACCRUED EXPENSES AND OTHER LIABILITIES </w:t>
      </w:r>
    </w:p>
    <w:tbl>
      <w:tblPr>
        <w:tblW w:w="9278" w:type="dxa"/>
        <w:jc w:val="left"/>
        <w:tblInd w:w="0" w:type="dxa"/>
        <w:tblLayout w:type="fixed"/>
        <w:tblCellMar>
          <w:top w:w="0" w:type="dxa"/>
          <w:left w:w="0" w:type="dxa"/>
          <w:bottom w:w="0" w:type="dxa"/>
          <w:right w:w="0" w:type="dxa"/>
        </w:tblCellMar>
      </w:tblPr>
      <w:tblGrid>
        <w:gridCol w:w="5495"/>
        <w:gridCol w:w="60"/>
        <w:gridCol w:w="138"/>
        <w:gridCol w:w="1861"/>
        <w:gridCol w:w="95"/>
        <w:gridCol w:w="60"/>
        <w:gridCol w:w="101"/>
        <w:gridCol w:w="1358"/>
        <w:gridCol w:w="110"/>
      </w:tblGrid>
      <w:tr>
        <w:trPr/>
        <w:tc>
          <w:tcPr>
            <w:tcW w:w="54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40" w:name="xdx_493_20251231_zVS8YPzLKSs5"/>
            <w:bookmarkEnd w:id="640"/>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1" w:name="xdx_492_20260630_z2pNTPUvtq7k"/>
            <w:bookmarkEnd w:id="641"/>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642" w:name="xdx_404_eus-gaap--EmployeeRelatedLiabili"/>
            <w:bookmarkEnd w:id="642"/>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welfare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51,533</w:t>
            </w:r>
          </w:p>
        </w:tc>
        <w:tc>
          <w:tcPr>
            <w:tcW w:w="110" w:type="dxa"/>
            <w:tcBorders/>
            <w:shd w:fill="CCEEFF" w:val="clear"/>
            <w:vAlign w:val="center"/>
          </w:tcPr>
          <w:p>
            <w:pPr>
              <w:pStyle w:val="TableContents"/>
              <w:bidi w:val="0"/>
              <w:spacing w:before="0" w:after="283"/>
              <w:jc w:val="left"/>
              <w:rPr/>
            </w:pPr>
            <w:r>
              <w:rPr/>
              <w:t> </w:t>
            </w:r>
            <w:bookmarkStart w:id="643" w:name="xdx_403_ecustom--PaymentsForPurchaseOfPr"/>
            <w:bookmarkEnd w:id="643"/>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for purchase of property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43,136</w:t>
            </w:r>
          </w:p>
        </w:tc>
        <w:tc>
          <w:tcPr>
            <w:tcW w:w="110" w:type="dxa"/>
            <w:tcBorders/>
            <w:shd w:fill="FFFFFF" w:val="clear"/>
            <w:vAlign w:val="center"/>
          </w:tcPr>
          <w:p>
            <w:pPr>
              <w:pStyle w:val="TableContents"/>
              <w:bidi w:val="0"/>
              <w:spacing w:before="0" w:after="283"/>
              <w:jc w:val="left"/>
              <w:rPr/>
            </w:pPr>
            <w:r>
              <w:rPr/>
              <w:t> </w:t>
            </w:r>
            <w:bookmarkStart w:id="644" w:name="xdx_40F_eus-gaap--ProductWarrantyAccrual"/>
            <w:bookmarkEnd w:id="644"/>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warranty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25,095</w:t>
            </w:r>
          </w:p>
        </w:tc>
        <w:tc>
          <w:tcPr>
            <w:tcW w:w="110" w:type="dxa"/>
            <w:tcBorders/>
            <w:shd w:fill="CCEEFF" w:val="clear"/>
            <w:vAlign w:val="center"/>
          </w:tcPr>
          <w:p>
            <w:pPr>
              <w:pStyle w:val="TableContents"/>
              <w:bidi w:val="0"/>
              <w:spacing w:before="0" w:after="283"/>
              <w:jc w:val="left"/>
              <w:rPr/>
            </w:pPr>
            <w:r>
              <w:rPr/>
              <w:t> </w:t>
            </w:r>
            <w:bookmarkStart w:id="645" w:name="xdx_407_eus-gaap--AccruedProfessionalFee"/>
            <w:bookmarkEnd w:id="645"/>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 payables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19,495</w:t>
            </w:r>
          </w:p>
        </w:tc>
        <w:tc>
          <w:tcPr>
            <w:tcW w:w="110" w:type="dxa"/>
            <w:tcBorders/>
            <w:shd w:fill="FFFFFF" w:val="clear"/>
            <w:vAlign w:val="center"/>
          </w:tcPr>
          <w:p>
            <w:pPr>
              <w:pStyle w:val="TableContents"/>
              <w:bidi w:val="0"/>
              <w:spacing w:before="0" w:after="283"/>
              <w:jc w:val="left"/>
              <w:rPr/>
            </w:pPr>
            <w:r>
              <w:rPr/>
              <w:t> </w:t>
            </w:r>
            <w:bookmarkStart w:id="646" w:name="xdx_407_ecustom--DepositsFromSuppliersCu"/>
            <w:bookmarkEnd w:id="646"/>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 from suppliers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12,745</w:t>
            </w:r>
          </w:p>
        </w:tc>
        <w:tc>
          <w:tcPr>
            <w:tcW w:w="110" w:type="dxa"/>
            <w:tcBorders/>
            <w:shd w:fill="CCEEFF" w:val="clear"/>
            <w:vAlign w:val="center"/>
          </w:tcPr>
          <w:p>
            <w:pPr>
              <w:pStyle w:val="TableContents"/>
              <w:bidi w:val="0"/>
              <w:spacing w:before="0" w:after="283"/>
              <w:jc w:val="left"/>
              <w:rPr/>
            </w:pPr>
            <w:r>
              <w:rPr/>
              <w:t> </w:t>
            </w:r>
            <w:bookmarkStart w:id="647" w:name="xdx_40E_eus-gaap--AccruedMarketingCostsC"/>
            <w:bookmarkEnd w:id="647"/>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promotion expenses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12,209</w:t>
            </w:r>
          </w:p>
        </w:tc>
        <w:tc>
          <w:tcPr>
            <w:tcW w:w="110" w:type="dxa"/>
            <w:tcBorders/>
            <w:shd w:fill="FFFFFF" w:val="clear"/>
            <w:vAlign w:val="center"/>
          </w:tcPr>
          <w:p>
            <w:pPr>
              <w:pStyle w:val="TableContents"/>
              <w:bidi w:val="0"/>
              <w:spacing w:before="0" w:after="283"/>
              <w:jc w:val="left"/>
              <w:rPr/>
            </w:pPr>
            <w:r>
              <w:rPr/>
              <w:t> </w:t>
            </w:r>
            <w:bookmarkStart w:id="648" w:name="xdx_403_ecustom--FreightPayableCurrent_i"/>
            <w:bookmarkEnd w:id="648"/>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Freight payable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9,858</w:t>
            </w:r>
          </w:p>
        </w:tc>
        <w:tc>
          <w:tcPr>
            <w:tcW w:w="110" w:type="dxa"/>
            <w:tcBorders/>
            <w:shd w:fill="CCEEFF" w:val="clear"/>
            <w:vAlign w:val="center"/>
          </w:tcPr>
          <w:p>
            <w:pPr>
              <w:pStyle w:val="TableContents"/>
              <w:bidi w:val="0"/>
              <w:spacing w:before="0" w:after="283"/>
              <w:jc w:val="left"/>
              <w:rPr/>
            </w:pPr>
            <w:r>
              <w:rPr/>
              <w:t> </w:t>
            </w:r>
            <w:bookmarkStart w:id="649" w:name="xdx_40F_eus-gaap--TaxesPayableCurrent_iI"/>
            <w:bookmarkEnd w:id="649"/>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tax payable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0" w:type="dxa"/>
            <w:tcBorders/>
            <w:shd w:fill="FFFFFF" w:val="clear"/>
            <w:vAlign w:val="center"/>
          </w:tcPr>
          <w:p>
            <w:pPr>
              <w:pStyle w:val="TableContents"/>
              <w:bidi w:val="0"/>
              <w:spacing w:before="0" w:after="283"/>
              <w:jc w:val="left"/>
              <w:rPr/>
            </w:pPr>
            <w:r>
              <w:rPr/>
              <w:t> </w:t>
            </w:r>
            <w:bookmarkStart w:id="650" w:name="xdx_406_ecustom--InstallationFeePayables"/>
            <w:bookmarkEnd w:id="650"/>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Installation fee payables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1,888</w:t>
            </w:r>
          </w:p>
        </w:tc>
        <w:tc>
          <w:tcPr>
            <w:tcW w:w="110" w:type="dxa"/>
            <w:tcBorders/>
            <w:shd w:fill="CCEEFF" w:val="clear"/>
            <w:vAlign w:val="center"/>
          </w:tcPr>
          <w:p>
            <w:pPr>
              <w:pStyle w:val="TableContents"/>
              <w:bidi w:val="0"/>
              <w:spacing w:before="0" w:after="283"/>
              <w:jc w:val="left"/>
              <w:rPr/>
            </w:pPr>
            <w:r>
              <w:rPr/>
              <w:t> </w:t>
            </w:r>
            <w:bookmarkStart w:id="651" w:name="xdx_40E_eus-gaap--ContractWithCustomerRe"/>
            <w:bookmarkEnd w:id="651"/>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Refund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w:t>
            </w:r>
          </w:p>
        </w:tc>
        <w:tc>
          <w:tcPr>
            <w:tcW w:w="110" w:type="dxa"/>
            <w:tcBorders/>
            <w:shd w:fill="FFFFFF" w:val="clear"/>
            <w:vAlign w:val="center"/>
          </w:tcPr>
          <w:p>
            <w:pPr>
              <w:pStyle w:val="TableContents"/>
              <w:bidi w:val="0"/>
              <w:spacing w:before="0" w:after="283"/>
              <w:jc w:val="left"/>
              <w:rPr/>
            </w:pPr>
            <w:r>
              <w:rPr/>
              <w:t> </w:t>
            </w:r>
            <w:bookmarkStart w:id="652" w:name="xdx_40D_eus-gaap--OtherAccruedLiabilitie"/>
            <w:bookmarkEnd w:id="652"/>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11,039</w:t>
            </w:r>
          </w:p>
        </w:tc>
        <w:tc>
          <w:tcPr>
            <w:tcW w:w="110" w:type="dxa"/>
            <w:tcBorders/>
            <w:shd w:fill="CCEEFF" w:val="clear"/>
            <w:vAlign w:val="center"/>
          </w:tcPr>
          <w:p>
            <w:pPr>
              <w:pStyle w:val="TableContents"/>
              <w:bidi w:val="0"/>
              <w:spacing w:before="0" w:after="283"/>
              <w:jc w:val="left"/>
              <w:rPr/>
            </w:pPr>
            <w:r>
              <w:rPr/>
              <w:t> </w:t>
            </w:r>
            <w:bookmarkStart w:id="653" w:name="xdx_400_eus-gaap--AccruedLiabilitiesAndO"/>
            <w:bookmarkEnd w:id="653"/>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189,962</w:t>
            </w:r>
          </w:p>
        </w:tc>
        <w:tc>
          <w:tcPr>
            <w:tcW w:w="110" w:type="dxa"/>
            <w:tcBorders/>
            <w:shd w:fill="FFFFFF" w:val="clear"/>
            <w:vAlign w:val="center"/>
          </w:tcPr>
          <w:p>
            <w:pPr>
              <w:pStyle w:val="TableContents"/>
              <w:bidi w:val="0"/>
              <w:spacing w:before="0" w:after="283"/>
              <w:jc w:val="left"/>
              <w:rPr/>
            </w:pPr>
            <w:r>
              <w:rPr/>
              <w:t> </w:t>
            </w:r>
            <w:bookmarkStart w:id="654" w:name="xdx_401_ecustom--AccruedExpensesAndOther"/>
            <w:bookmarkEnd w:id="654"/>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non-current portion</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55" w:name="xdx_402_ecustom--AccruedLiabilitiesAndOt"/>
            <w:bookmarkEnd w:id="655"/>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Accrued expenses and other liabilities-current portion</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157,043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138,854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56" w:name="xdx_8A4_zyfn6XYS9hg"/>
      <w:bookmarkEnd w:id="65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warranty activities were as follows:</w:t>
      </w:r>
    </w:p>
    <w:p>
      <w:pPr>
        <w:pStyle w:val="TextBody"/>
        <w:bidi w:val="0"/>
        <w:spacing w:before="0" w:after="0"/>
        <w:ind w:left="0" w:right="0" w:hanging="0"/>
        <w:jc w:val="left"/>
        <w:rPr>
          <w:caps w:val="false"/>
          <w:smallCaps w:val="false"/>
        </w:rPr>
      </w:pPr>
      <w:bookmarkStart w:id="657" w:name="xdx_890_eus-gaap--ScheduleOfProductWarra"/>
      <w:bookmarkEnd w:id="657"/>
      <w:r>
        <w:rPr>
          <w:caps w:val="false"/>
          <w:smallCaps w:val="false"/>
        </w:rPr>
        <w:t> </w:t>
      </w:r>
      <w:bookmarkStart w:id="658" w:name="xdx_8B1_zDkViSciK9vf"/>
      <w:bookmarkEnd w:id="658"/>
      <w:r>
        <w:rPr>
          <w:rFonts w:ascii="Times New Roman;Times;Serif" w:hAnsi="Times New Roman;Times;Serif"/>
          <w:b w:val="false"/>
          <w:i w:val="false"/>
          <w:caps w:val="false"/>
          <w:smallCaps w:val="false"/>
          <w:sz w:val="20"/>
        </w:rPr>
        <w:t>SCHEDULE OF PRODUCT WARRANT ACTIVITIES </w:t>
      </w:r>
    </w:p>
    <w:tbl>
      <w:tblPr>
        <w:tblW w:w="4694" w:type="dxa"/>
        <w:jc w:val="left"/>
        <w:tblInd w:w="0" w:type="dxa"/>
        <w:tblLayout w:type="fixed"/>
        <w:tblCellMar>
          <w:top w:w="0" w:type="dxa"/>
          <w:left w:w="0" w:type="dxa"/>
          <w:bottom w:w="0" w:type="dxa"/>
          <w:right w:w="0" w:type="dxa"/>
        </w:tblCellMar>
      </w:tblPr>
      <w:tblGrid>
        <w:gridCol w:w="2600"/>
        <w:gridCol w:w="60"/>
        <w:gridCol w:w="140"/>
        <w:gridCol w:w="1784"/>
        <w:gridCol w:w="11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 Warranty</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59" w:name="xdx_986_eus-gaap--StandardProductWarrant"/>
            <w:bookmarkEnd w:id="659"/>
          </w:p>
        </w:tc>
        <w:tc>
          <w:tcPr>
            <w:tcW w:w="17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40,568</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Provided during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60" w:name="xdx_98F_eus-gaap--StandardProductWarrant"/>
            <w:bookmarkEnd w:id="660"/>
          </w:p>
        </w:tc>
        <w:tc>
          <w:tcPr>
            <w:tcW w:w="17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19,624</w:t>
            </w:r>
          </w:p>
        </w:tc>
        <w:tc>
          <w:tcPr>
            <w:tcW w:w="11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Utilized during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1" w:name="xdx_984_eus-gaap--StandardProductWarrant"/>
            <w:bookmarkEnd w:id="661"/>
          </w:p>
        </w:tc>
        <w:tc>
          <w:tcPr>
            <w:tcW w:w="17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62" w:name="xdx_98C_eus-gaap--StandardProductWarrant"/>
            <w:bookmarkEnd w:id="662"/>
          </w:p>
        </w:tc>
        <w:tc>
          <w:tcPr>
            <w:tcW w:w="17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31,035</w:t>
            </w:r>
          </w:p>
        </w:tc>
        <w:tc>
          <w:tcPr>
            <w:tcW w:w="11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January 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63" w:name="xdx_98E_eus-gaap--StandardProductWarrant"/>
            <w:bookmarkEnd w:id="663"/>
          </w:p>
        </w:tc>
        <w:tc>
          <w:tcPr>
            <w:tcW w:w="17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31,035</w:t>
            </w:r>
          </w:p>
        </w:tc>
        <w:tc>
          <w:tcPr>
            <w:tcW w:w="11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Provided during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64" w:name="xdx_984_eus-gaap--StandardProductWarrant"/>
            <w:bookmarkEnd w:id="664"/>
          </w:p>
        </w:tc>
        <w:tc>
          <w:tcPr>
            <w:tcW w:w="17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18,737</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Utilized during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5" w:name="xdx_988_eus-gaap--StandardProductWarrant"/>
            <w:bookmarkEnd w:id="665"/>
          </w:p>
        </w:tc>
        <w:tc>
          <w:tcPr>
            <w:tcW w:w="17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66" w:name="xdx_982_eus-gaap--StandardProductWarrant"/>
            <w:bookmarkEnd w:id="666"/>
          </w:p>
        </w:tc>
        <w:tc>
          <w:tcPr>
            <w:tcW w:w="17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67" w:name="xdx_8AA_zl6jwXoEpbYj"/>
      <w:bookmarkEnd w:id="667"/>
      <w:r>
        <w:rPr>
          <w:caps w:val="false"/>
          <w:smallCaps w:val="false"/>
        </w:rPr>
        <w:t> </w:t>
      </w:r>
    </w:p>
    <w:p>
      <w:pPr>
        <w:pStyle w:val="TextBody"/>
        <w:bidi w:val="0"/>
        <w:spacing w:before="0" w:after="0"/>
        <w:ind w:left="0" w:right="0" w:hanging="0"/>
        <w:jc w:val="left"/>
        <w:rPr>
          <w:caps w:val="false"/>
          <w:smallCaps w:val="false"/>
        </w:rPr>
      </w:pPr>
      <w:bookmarkStart w:id="668" w:name="xdx_805_eus-gaap--SegmentReportingDisclo"/>
      <w:bookmarkEnd w:id="668"/>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2225" w:type="dxa"/>
            <w:tcBorders/>
            <w:vAlign w:val="center"/>
          </w:tcPr>
          <w:p>
            <w:pPr>
              <w:pStyle w:val="TableContents"/>
              <w:bidi w:val="0"/>
              <w:spacing w:before="0" w:after="283"/>
              <w:jc w:val="both"/>
              <w:rPr>
                <w:rFonts w:ascii="Times New Roman;Times;Serif" w:hAnsi="Times New Roman;Times;Serif"/>
                <w:b/>
                <w:sz w:val="20"/>
              </w:rPr>
            </w:pPr>
            <w:bookmarkStart w:id="669" w:name="xdx_82E_zIg6jWZWrBla"/>
            <w:bookmarkEnd w:id="669"/>
            <w:r>
              <w:rPr>
                <w:rFonts w:ascii="Times New Roman;Times;Serif" w:hAnsi="Times New Roman;Times;Serif"/>
                <w:b/>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derives revenue by developing and selling Home water solution businesses products in the PRC. The Group operates as </w:t>
      </w:r>
      <w:bookmarkStart w:id="670" w:name="xdx_907_eus-gaap--NumberOfOperatingSegme"/>
      <w:bookmarkStart w:id="671" w:name="xdx_903_eus-gaap--NumberOfReportableSegm"/>
      <w:bookmarkEnd w:id="670"/>
      <w:bookmarkEnd w:id="671"/>
      <w:r>
        <w:rPr>
          <w:rFonts w:ascii="Times New Roman;Times;Serif" w:hAnsi="Times New Roman;Times;Serif"/>
          <w:b w:val="false"/>
          <w:i w:val="false"/>
          <w:caps w:val="false"/>
          <w:smallCaps w:val="false"/>
          <w:sz w:val="20"/>
        </w:rPr>
        <w:t>one operating and reportable segment and its sole business activity consists of the design, development, manufacturing and marketing of Home water solution businesses products. The Group provides Home water solution businesses products mainly to its customers in the PRC and manages its business activities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accounting policies of the segment are the same as those described in Note “2. Summary of Significant Accounting Policies” in the Company’s Annual Report on Form 20-F for the fiscal year ended December 31, 2025. The Group’s CODM uses net income or loss to measure segment profit or loss and assesses performance against expectations to make resource allocation decisions. Additionally, the CODM reviews and uses functional expenses included in net income to manage the Group’s operations and assess operating profitability. The Group operates as </w:t>
      </w:r>
      <w:bookmarkStart w:id="672" w:name="xdx_90C_eus-gaap--NumberOfReportableSegm"/>
      <w:bookmarkStart w:id="673" w:name="xdx_907_eus-gaap--NumberOfOperatingSegme"/>
      <w:bookmarkEnd w:id="672"/>
      <w:bookmarkEnd w:id="673"/>
      <w:r>
        <w:rPr>
          <w:rFonts w:ascii="Times New Roman;Times;Serif" w:hAnsi="Times New Roman;Times;Serif"/>
          <w:b w:val="false"/>
          <w:i w:val="false"/>
          <w:caps w:val="false"/>
          <w:smallCaps w:val="false"/>
          <w:sz w:val="20"/>
        </w:rPr>
        <w:t>one operating and reportable segment, and as such the significant segment expenses regularly provided to the CODM are those presented on the unaudited condensed consolidated statements of comprehensive income (loss). These significant segment expenses include cost of revenue, research and development, selling and marketing, and general and administrative expenses. Other segment items that are presented on the unaudited condensed consolidated statements of comprehensive income (loss) include other income, net, interest and investment income, net, and other non-operating income (loss), income tax (expenses) benefit. The Group’s entity-wide disclosures, including the breakout of revenue between products are included in Note “14. Revenue”.</w:t>
      </w:r>
    </w:p>
    <w:p>
      <w:pPr>
        <w:pStyle w:val="TextBody"/>
        <w:bidi w:val="0"/>
        <w:spacing w:before="0" w:after="0"/>
        <w:ind w:left="60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bookmarkStart w:id="674" w:name="xdx_80C_eus-gaap--RevenueFromContractWit"/>
      <w:bookmarkEnd w:id="674"/>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90"/>
        <w:gridCol w:w="98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980" w:type="dxa"/>
            <w:tcBorders/>
            <w:vAlign w:val="center"/>
          </w:tcPr>
          <w:p>
            <w:pPr>
              <w:pStyle w:val="TableContents"/>
              <w:bidi w:val="0"/>
              <w:spacing w:before="0" w:after="283"/>
              <w:jc w:val="both"/>
              <w:rPr>
                <w:rFonts w:ascii="Times New Roman;Times;Serif" w:hAnsi="Times New Roman;Times;Serif"/>
                <w:b/>
                <w:sz w:val="20"/>
              </w:rPr>
            </w:pPr>
            <w:bookmarkStart w:id="675" w:name="xdx_820_zgUDwJ8V1sDk"/>
            <w:bookmarkEnd w:id="675"/>
            <w:r>
              <w:rPr>
                <w:rFonts w:ascii="Times New Roman;Times;Serif" w:hAnsi="Times New Roman;Times;Serif"/>
                <w:b/>
                <w:sz w:val="20"/>
              </w:rPr>
              <w:t>REVENUE</w:t>
            </w:r>
          </w:p>
        </w:tc>
      </w:tr>
    </w:tbl>
    <w:p>
      <w:pPr>
        <w:pStyle w:val="TextBody"/>
        <w:bidi w:val="0"/>
        <w:spacing w:before="0" w:after="0"/>
        <w:ind w:left="600" w:right="0" w:hanging="0"/>
        <w:jc w:val="left"/>
        <w:rPr>
          <w:rFonts w:ascii="Times New Roman;Times;Serif" w:hAnsi="Times New Roman;Times;Serif"/>
          <w:b w:val="false"/>
          <w:i w:val="false"/>
          <w:caps w:val="false"/>
          <w:smallCaps w:val="false"/>
          <w:sz w:val="20"/>
        </w:rPr>
      </w:pPr>
      <w:bookmarkStart w:id="676" w:name="xdx_8B0_zjd8wr257i4h"/>
      <w:bookmarkStart w:id="677" w:name="xdx_890_eus-gaap--DisaggregationOfRevenu"/>
      <w:bookmarkEnd w:id="676"/>
      <w:bookmarkEnd w:id="677"/>
      <w:r>
        <w:rPr>
          <w:rFonts w:ascii="Times New Roman;Times;Serif" w:hAnsi="Times New Roman;Times;Serif"/>
          <w:b w:val="false"/>
          <w:i w:val="false"/>
          <w:caps w:val="false"/>
          <w:smallCaps w:val="false"/>
          <w:sz w:val="20"/>
        </w:rPr>
        <w:t>SCHEDULE OF REVENUE </w:t>
      </w:r>
    </w:p>
    <w:tbl>
      <w:tblPr>
        <w:tblW w:w="5931" w:type="dxa"/>
        <w:jc w:val="left"/>
        <w:tblInd w:w="0" w:type="dxa"/>
        <w:tblLayout w:type="fixed"/>
        <w:tblCellMar>
          <w:top w:w="0" w:type="dxa"/>
          <w:left w:w="0" w:type="dxa"/>
          <w:bottom w:w="0" w:type="dxa"/>
          <w:right w:w="0" w:type="dxa"/>
        </w:tblCellMar>
      </w:tblPr>
      <w:tblGrid>
        <w:gridCol w:w="3005"/>
        <w:gridCol w:w="60"/>
        <w:gridCol w:w="82"/>
        <w:gridCol w:w="1341"/>
        <w:gridCol w:w="82"/>
        <w:gridCol w:w="82"/>
        <w:gridCol w:w="83"/>
        <w:gridCol w:w="1121"/>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78" w:name="xdx_494_20250101__20250630_zggEuvrzt1o2"/>
            <w:bookmarkEnd w:id="678"/>
          </w:p>
        </w:tc>
        <w:tc>
          <w:tcPr>
            <w:tcW w:w="14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679" w:name="xdx_499_20260101__20260630_zG5gLG5e8Oq9"/>
            <w:bookmarkEnd w:id="679"/>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Sales of products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80" w:name="xdx_40F_eus-gaap--RevenueFromContractWit"/>
            <w:bookmarkEnd w:id="680"/>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Home water solutions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1,058,318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473,374</w:t>
            </w:r>
          </w:p>
        </w:tc>
        <w:tc>
          <w:tcPr>
            <w:tcW w:w="75" w:type="dxa"/>
            <w:tcBorders/>
            <w:shd w:fill="FFFFFF" w:val="clear"/>
            <w:vAlign w:val="center"/>
          </w:tcPr>
          <w:p>
            <w:pPr>
              <w:pStyle w:val="TableContents"/>
              <w:bidi w:val="0"/>
              <w:spacing w:before="0" w:after="283"/>
              <w:jc w:val="left"/>
              <w:rPr/>
            </w:pPr>
            <w:r>
              <w:rPr/>
              <w:t> </w:t>
            </w:r>
            <w:bookmarkStart w:id="681" w:name="xdx_400_eus-gaap--RevenueFromContractWit"/>
            <w:bookmarkEnd w:id="681"/>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Consumables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123,182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131,743</w:t>
            </w:r>
          </w:p>
        </w:tc>
        <w:tc>
          <w:tcPr>
            <w:tcW w:w="75" w:type="dxa"/>
            <w:tcBorders/>
            <w:shd w:fill="CCEEFF" w:val="clear"/>
            <w:vAlign w:val="center"/>
          </w:tcPr>
          <w:p>
            <w:pPr>
              <w:pStyle w:val="TableContents"/>
              <w:bidi w:val="0"/>
              <w:spacing w:before="0" w:after="283"/>
              <w:jc w:val="left"/>
              <w:rPr/>
            </w:pPr>
            <w:r>
              <w:rPr/>
              <w:t> </w:t>
            </w:r>
            <w:bookmarkStart w:id="682" w:name="xdx_409_eus-gaap--RevenueFromContractWit"/>
            <w:bookmarkEnd w:id="682"/>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Kitchen appliances and others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286,048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127,260</w:t>
            </w:r>
          </w:p>
        </w:tc>
        <w:tc>
          <w:tcPr>
            <w:tcW w:w="75" w:type="dxa"/>
            <w:tcBorders/>
            <w:shd w:fill="FFFFFF" w:val="clear"/>
            <w:vAlign w:val="center"/>
          </w:tcPr>
          <w:p>
            <w:pPr>
              <w:pStyle w:val="TableContents"/>
              <w:bidi w:val="0"/>
              <w:spacing w:before="0" w:after="283"/>
              <w:jc w:val="left"/>
              <w:rPr/>
            </w:pPr>
            <w:r>
              <w:rPr/>
              <w:t> </w:t>
            </w:r>
            <w:bookmarkStart w:id="683" w:name="xdx_401_eus-gaap--RevenueFromContractWit"/>
            <w:bookmarkEnd w:id="683"/>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of sales of products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1,467,548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732,377</w:t>
            </w:r>
          </w:p>
        </w:tc>
        <w:tc>
          <w:tcPr>
            <w:tcW w:w="75" w:type="dxa"/>
            <w:tcBorders/>
            <w:shd w:fill="CCEEFF" w:val="clear"/>
            <w:vAlign w:val="center"/>
          </w:tcPr>
          <w:p>
            <w:pPr>
              <w:pStyle w:val="TableContents"/>
              <w:bidi w:val="0"/>
              <w:spacing w:before="0" w:after="283"/>
              <w:jc w:val="left"/>
              <w:rPr/>
            </w:pPr>
            <w:r>
              <w:rPr/>
              <w:t> </w:t>
            </w:r>
            <w:bookmarkStart w:id="684" w:name="xdx_403_eus-gaap--RevenueFromContractWit"/>
            <w:bookmarkEnd w:id="684"/>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Rendering of services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7,619</w:t>
            </w:r>
          </w:p>
        </w:tc>
        <w:tc>
          <w:tcPr>
            <w:tcW w:w="75" w:type="dxa"/>
            <w:tcBorders/>
            <w:shd w:fill="FFFFFF" w:val="clear"/>
            <w:vAlign w:val="center"/>
          </w:tcPr>
          <w:p>
            <w:pPr>
              <w:pStyle w:val="TableContents"/>
              <w:bidi w:val="0"/>
              <w:spacing w:before="0" w:after="283"/>
              <w:jc w:val="left"/>
              <w:rPr/>
            </w:pPr>
            <w:r>
              <w:rPr/>
              <w:t> </w:t>
            </w:r>
            <w:bookmarkStart w:id="685" w:name="xdx_402_eus-gaap--RevenueFromContractWit"/>
            <w:bookmarkEnd w:id="685"/>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1,477,619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739,996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left"/>
        <w:rPr>
          <w:caps w:val="false"/>
          <w:smallCaps w:val="false"/>
        </w:rPr>
      </w:pPr>
      <w:bookmarkStart w:id="686" w:name="xdx_8AE_zDV2wu0Ss9Ei"/>
      <w:bookmarkEnd w:id="68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revenue is recognized at a point in time when control of the promised goods is transferred to the customers.</w:t>
      </w:r>
    </w:p>
    <w:p>
      <w:pPr>
        <w:pStyle w:val="TextBody"/>
        <w:bidi w:val="0"/>
        <w:spacing w:before="0" w:after="0"/>
        <w:ind w:left="0" w:right="0" w:hanging="0"/>
        <w:jc w:val="left"/>
        <w:rPr>
          <w:caps w:val="false"/>
          <w:smallCaps w:val="false"/>
        </w:rPr>
      </w:pPr>
      <w:bookmarkStart w:id="687" w:name="xdx_802_eus-gaap--IncomeTaxDisclosureTex"/>
      <w:bookmarkEnd w:id="687"/>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2345" w:type="dxa"/>
            <w:tcBorders/>
            <w:vAlign w:val="center"/>
          </w:tcPr>
          <w:p>
            <w:pPr>
              <w:pStyle w:val="TableContents"/>
              <w:bidi w:val="0"/>
              <w:spacing w:before="0" w:after="283"/>
              <w:jc w:val="both"/>
              <w:rPr>
                <w:rFonts w:ascii="Times New Roman;Times;Serif" w:hAnsi="Times New Roman;Times;Serif"/>
                <w:b/>
                <w:sz w:val="20"/>
              </w:rPr>
            </w:pPr>
            <w:bookmarkStart w:id="688" w:name="xdx_827_zKer086IMPsb"/>
            <w:bookmarkEnd w:id="688"/>
            <w:r>
              <w:rPr>
                <w:rFonts w:ascii="Times New Roman;Times;Serif" w:hAnsi="Times New Roman;Times;Serif"/>
                <w:b/>
                <w:sz w:val="20"/>
              </w:rPr>
              <w:t>INCOME TAX EXPENSES</w:t>
            </w:r>
          </w:p>
        </w:tc>
      </w:tr>
    </w:tbl>
    <w:p>
      <w:pPr>
        <w:pStyle w:val="TextBody"/>
        <w:bidi w:val="0"/>
        <w:spacing w:before="0" w:after="0"/>
        <w:ind w:left="601"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tax laws of the Cayman Islands, the Company and its subsidiaries are not subject to tax on income or capital gains. Besides, upon payment of dividends by the Company to its shareholders, no Cayman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current Hong Kong Inland Revenue Ordinance, the subsidiaries of the Group in Hong Kong are subject to </w:t>
      </w:r>
      <w:bookmarkStart w:id="689" w:name="xdx_906_eus-gaap--EffectiveIncomeTaxRate"/>
      <w:bookmarkEnd w:id="689"/>
      <w:r>
        <w:rPr>
          <w:rFonts w:ascii="Times New Roman;Times;Serif" w:hAnsi="Times New Roman;Times;Serif"/>
          <w:b w:val="false"/>
          <w:i w:val="false"/>
          <w:caps w:val="false"/>
          <w:smallCaps w:val="false"/>
          <w:sz w:val="20"/>
        </w:rPr>
        <w:t xml:space="preserve">8.25% and </w:t>
      </w:r>
      <w:bookmarkStart w:id="690" w:name="xdx_90C_eus-gaap--EffectiveIncomeTaxRate"/>
      <w:bookmarkEnd w:id="690"/>
      <w:r>
        <w:rPr>
          <w:rFonts w:ascii="Times New Roman;Times;Serif" w:hAnsi="Times New Roman;Times;Serif"/>
          <w:b w:val="false"/>
          <w:i w:val="false"/>
          <w:caps w:val="false"/>
          <w:smallCaps w:val="false"/>
          <w:sz w:val="20"/>
        </w:rPr>
        <w:t>16.5% Hong Kong profit tax on its taxable income within HKD$</w:t>
      </w:r>
      <w:bookmarkStart w:id="691" w:name="xdx_903_eus-gaap--InvestmentCompanyTaxRe"/>
      <w:bookmarkEnd w:id="691"/>
      <w:r>
        <w:rPr>
          <w:rFonts w:ascii="Times New Roman;Times;Serif" w:hAnsi="Times New Roman;Times;Serif"/>
          <w:b w:val="false"/>
          <w:i w:val="false"/>
          <w:caps w:val="false"/>
          <w:smallCaps w:val="false"/>
          <w:sz w:val="20"/>
        </w:rPr>
        <w:t>2 million and beyond HKD$</w:t>
      </w:r>
      <w:bookmarkStart w:id="692" w:name="xdx_907_eus-gaap--InvestmentCompanyTaxRe"/>
      <w:bookmarkEnd w:id="692"/>
      <w:r>
        <w:rPr>
          <w:rFonts w:ascii="Times New Roman;Times;Serif" w:hAnsi="Times New Roman;Times;Serif"/>
          <w:b w:val="false"/>
          <w:i w:val="false"/>
          <w:caps w:val="false"/>
          <w:smallCaps w:val="false"/>
          <w:sz w:val="20"/>
        </w:rPr>
        <w:t>2 million, respectively, generated from operations in Hong Kong. Additionally, payments of dividends by the subsidiaries incorporated in Hong Kong to the Company are not subject to any Hong Kong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Enterprise Income Tax Law (“EIT Law”), Foreign Investment Enterprises (“FIEs”) and domestic companies are subject to Enterprise Income Tax (“EIT”) at a uniform rate of </w:t>
      </w:r>
      <w:bookmarkStart w:id="693" w:name="xdx_903_eus-gaap--EffectiveIncomeTaxRate"/>
      <w:bookmarkEnd w:id="693"/>
      <w:r>
        <w:rPr>
          <w:rFonts w:ascii="Times New Roman;Times;Serif" w:hAnsi="Times New Roman;Times;Serif"/>
          <w:b w:val="false"/>
          <w:i w:val="false"/>
          <w:caps w:val="false"/>
          <w:smallCaps w:val="false"/>
          <w:sz w:val="20"/>
        </w:rPr>
        <w:t xml:space="preserve">25%. The subsidiaries and VIEs of the Group in the PRC are subject to a uniform income tax rate of </w:t>
      </w:r>
      <w:bookmarkStart w:id="694" w:name="xdx_90C_eus-gaap--EffectiveIncomeTaxRate"/>
      <w:bookmarkEnd w:id="694"/>
      <w:r>
        <w:rPr>
          <w:rFonts w:ascii="Times New Roman;Times;Serif" w:hAnsi="Times New Roman;Times;Serif"/>
          <w:b w:val="false"/>
          <w:i w:val="false"/>
          <w:caps w:val="false"/>
          <w:smallCaps w:val="false"/>
          <w:sz w:val="20"/>
        </w:rPr>
        <w:t xml:space="preserve">25% for years presented except for the entities which are qualified to certified High and New Technology Enterprises (“HNTE”) that are entitled to a favorable statutory tax rate of </w:t>
      </w:r>
      <w:bookmarkStart w:id="695" w:name="xdx_90D_eus-gaap--EffectiveIncomeTaxRate"/>
      <w:bookmarkEnd w:id="695"/>
      <w:r>
        <w:rPr>
          <w:rFonts w:ascii="Times New Roman;Times;Serif" w:hAnsi="Times New Roman;Times;Serif"/>
          <w:b w:val="false"/>
          <w:i w:val="false"/>
          <w:caps w:val="false"/>
          <w:smallCaps w:val="false"/>
          <w:sz w:val="20"/>
        </w:rPr>
        <w:t xml:space="preserve">15%. According to a policy promulgated by the State Tax Bureau of the PRC and effective from 2008 onwards, enterprises engaged in research and development activities are entitled to claim an additional tax deduction amounting to </w:t>
      </w:r>
      <w:bookmarkStart w:id="696" w:name="xdx_908_ecustom--PercentageOfQualifiedRe"/>
      <w:bookmarkEnd w:id="696"/>
      <w:r>
        <w:rPr>
          <w:rFonts w:ascii="Times New Roman;Times;Serif" w:hAnsi="Times New Roman;Times;Serif"/>
          <w:b w:val="false"/>
          <w:i w:val="false"/>
          <w:caps w:val="false"/>
          <w:smallCaps w:val="false"/>
          <w:sz w:val="20"/>
        </w:rPr>
        <w:t xml:space="preserve">50% of the qualified research and development expenses incurred in determining its tax assessable profits for that year. The additional tax deduction has been increased from </w:t>
      </w:r>
      <w:bookmarkStart w:id="697" w:name="xdx_900_ecustom--PercentageOfQualifiedRe"/>
      <w:bookmarkEnd w:id="697"/>
      <w:r>
        <w:rPr>
          <w:rFonts w:ascii="Times New Roman;Times;Serif" w:hAnsi="Times New Roman;Times;Serif"/>
          <w:b w:val="false"/>
          <w:i w:val="false"/>
          <w:caps w:val="false"/>
          <w:smallCaps w:val="false"/>
          <w:sz w:val="20"/>
        </w:rPr>
        <w:t xml:space="preserve">50% of the qualified research and development expenses to </w:t>
      </w:r>
      <w:bookmarkStart w:id="698" w:name="xdx_904_ecustom--PercentageOfQualifiedRe"/>
      <w:bookmarkEnd w:id="698"/>
      <w:r>
        <w:rPr>
          <w:rFonts w:ascii="Times New Roman;Times;Serif" w:hAnsi="Times New Roman;Times;Serif"/>
          <w:b w:val="false"/>
          <w:i w:val="false"/>
          <w:caps w:val="false"/>
          <w:smallCaps w:val="false"/>
          <w:sz w:val="20"/>
        </w:rPr>
        <w:t xml:space="preserve">75%, effective from 2018 to 2020, according to a new tax incentives policy promulgated by the State Tax Bureau of the PRC in September 2018. The additional tax deduction has been increased from </w:t>
      </w:r>
      <w:bookmarkStart w:id="699" w:name="xdx_906_ecustom--PercentageOfQualifiedRe"/>
      <w:bookmarkEnd w:id="699"/>
      <w:r>
        <w:rPr>
          <w:rFonts w:ascii="Times New Roman;Times;Serif" w:hAnsi="Times New Roman;Times;Serif"/>
          <w:b w:val="false"/>
          <w:i w:val="false"/>
          <w:caps w:val="false"/>
          <w:smallCaps w:val="false"/>
          <w:sz w:val="20"/>
        </w:rPr>
        <w:t xml:space="preserve">75% of the qualified research and development expenses to </w:t>
      </w:r>
      <w:bookmarkStart w:id="700" w:name="xdx_90E_ecustom--PercentageOfQualifiedRe"/>
      <w:bookmarkEnd w:id="700"/>
      <w:r>
        <w:rPr>
          <w:rFonts w:ascii="Times New Roman;Times;Serif" w:hAnsi="Times New Roman;Times;Serif"/>
          <w:b w:val="false"/>
          <w:i w:val="false"/>
          <w:caps w:val="false"/>
          <w:smallCaps w:val="false"/>
          <w:sz w:val="20"/>
        </w:rPr>
        <w:t>100%, effective from 2021, according to a new tax incentives policy promulgated by the State Tax Bureau of the PRC in May 2021 (“Super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Withholding tax on undistributed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CIT Law and its implementation rules, the profits of a foreign-invested enterprise arising in 2008 and thereafter that are distributed to its immediate holding company outside the PRC are subject to withholding tax at a rate of </w:t>
      </w:r>
      <w:bookmarkStart w:id="701" w:name="xdx_90C_ecustom--WithholdingIncomeTaxRat"/>
      <w:bookmarkEnd w:id="701"/>
      <w:r>
        <w:rPr>
          <w:rFonts w:ascii="Times New Roman;Times;Serif" w:hAnsi="Times New Roman;Times;Serif"/>
          <w:b w:val="false"/>
          <w:i w:val="false"/>
          <w:caps w:val="false"/>
          <w:smallCaps w:val="false"/>
          <w:sz w:val="20"/>
        </w:rPr>
        <w:t xml:space="preserve">10%. A lower withholding tax rate will be applied if there is a beneficial tax treaty between the PRC and the jurisdiction of the foreign holding company. A holding company in Hong Kong, for example, will be eligible, with approval of the PRC local tax authority, to be subject to a </w:t>
      </w:r>
      <w:bookmarkStart w:id="702" w:name="xdx_901_ecustom--WithholdingIncomeTaxRat"/>
      <w:bookmarkEnd w:id="702"/>
      <w:r>
        <w:rPr>
          <w:rFonts w:ascii="Times New Roman;Times;Serif" w:hAnsi="Times New Roman;Times;Serif"/>
          <w:b w:val="false"/>
          <w:i w:val="false"/>
          <w:caps w:val="false"/>
          <w:smallCaps w:val="false"/>
          <w:sz w:val="20"/>
        </w:rPr>
        <w:t xml:space="preserve">5% withholding tax rate under the Arrangement Between the PRC and the Hong Kong Special Administrative Region on the Avoidance of Double Taxation and Prevention of Fiscal Evasion with Respect to Taxes on Income and Capital if such holding company is considered to be a non-PRC resident enterprise and holds at least </w:t>
      </w:r>
      <w:bookmarkStart w:id="703" w:name="xdx_908_ecustom--MinimumPercentageOfEqui"/>
      <w:bookmarkEnd w:id="703"/>
      <w:r>
        <w:rPr>
          <w:rFonts w:ascii="Times New Roman;Times;Serif" w:hAnsi="Times New Roman;Times;Serif"/>
          <w:b w:val="false"/>
          <w:i w:val="false"/>
          <w:caps w:val="false"/>
          <w:smallCaps w:val="false"/>
          <w:sz w:val="20"/>
        </w:rPr>
        <w:t xml:space="preserve">25% of the equity interests in the PRC foreign-invested enterprise distributing the dividends. However, if the Hong Kong holding company is not considered to be the beneficial owner of such dividends under applicable PRC tax regulations, such dividend will remain subject to withholding tax at a rate of </w:t>
      </w:r>
      <w:bookmarkStart w:id="704" w:name="xdx_900_ecustom--WithholdingIncomeTaxRat"/>
      <w:bookmarkEnd w:id="704"/>
      <w:r>
        <w:rPr>
          <w:rFonts w:ascii="Times New Roman;Times;Serif" w:hAnsi="Times New Roman;Times;Serif"/>
          <w:b w:val="false"/>
          <w:i w:val="false"/>
          <w:caps w:val="false"/>
          <w:smallCaps w:val="false"/>
          <w:sz w:val="20"/>
        </w:rPr>
        <w:t>10%. Aggregate undistributed earnings of the Group entities located in the PRC that are available for distribution to the Company as of December 31, 2025 and June 30, 2026 are approximately RMB</w:t>
      </w:r>
      <w:bookmarkStart w:id="705" w:name="xdx_90B_eus-gaap--UndistributedEarnings_"/>
      <w:bookmarkEnd w:id="705"/>
      <w:r>
        <w:rPr>
          <w:rFonts w:ascii="Times New Roman;Times;Serif" w:hAnsi="Times New Roman;Times;Serif"/>
          <w:b w:val="false"/>
          <w:i w:val="false"/>
          <w:caps w:val="false"/>
          <w:smallCaps w:val="false"/>
          <w:sz w:val="20"/>
        </w:rPr>
        <w:t>334,248 and RMB</w:t>
      </w:r>
      <w:bookmarkStart w:id="706" w:name="xdx_907_eus-gaap--UndistributedEarnings_"/>
      <w:bookmarkEnd w:id="706"/>
      <w:r>
        <w:rPr>
          <w:rFonts w:ascii="Times New Roman;Times;Serif" w:hAnsi="Times New Roman;Times;Serif"/>
          <w:b w:val="false"/>
          <w:i w:val="false"/>
          <w:caps w:val="false"/>
          <w:smallCaps w:val="false"/>
          <w:sz w:val="20"/>
        </w:rPr>
        <w:t>344,825, respectively. The Company does not intend to have any of its subsidiaries located in the PRC distribute any undistributed earnings of such subsidiaries in the foreseeable future, but rather expects that such earnings will be reinvested by such subsidiaries for their PRC daily operations. Accordingly, no withholding tax was recorded as of December 31, 2025 and June 30, 2026.</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90"/>
        <w:gridCol w:w="338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3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 EXPENSES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 of income tax expenses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07" w:name="xdx_89C_eus-gaap--ScheduleOfComponentsOf"/>
      <w:bookmarkEnd w:id="707"/>
      <w:r>
        <w:rPr>
          <w:rFonts w:ascii="Times New Roman;Times;Serif" w:hAnsi="Times New Roman;Times;Serif"/>
          <w:b w:val="false"/>
          <w:i w:val="false"/>
          <w:caps w:val="false"/>
          <w:smallCaps w:val="false"/>
          <w:sz w:val="20"/>
        </w:rPr>
        <w:t>The current and deferred components of income taxes appearing in the unaudited condensed consolidated statements of comprehensive income (loss) are as follows:</w:t>
      </w:r>
    </w:p>
    <w:p>
      <w:pPr>
        <w:pStyle w:val="TextBody"/>
        <w:bidi w:val="0"/>
        <w:spacing w:before="0" w:after="0"/>
        <w:ind w:left="600" w:right="0" w:hanging="0"/>
        <w:jc w:val="left"/>
        <w:rPr>
          <w:caps w:val="false"/>
          <w:smallCaps w:val="false"/>
        </w:rPr>
      </w:pPr>
      <w:r>
        <w:rPr>
          <w:caps w:val="false"/>
          <w:smallCaps w:val="false"/>
        </w:rPr>
        <w:t> </w:t>
      </w:r>
      <w:bookmarkStart w:id="708" w:name="xdx_8B3_zm4SgcKMFXCk"/>
      <w:bookmarkEnd w:id="708"/>
      <w:r>
        <w:rPr>
          <w:rFonts w:ascii="Times New Roman;Times;Serif" w:hAnsi="Times New Roman;Times;Serif"/>
          <w:b w:val="false"/>
          <w:i w:val="false"/>
          <w:caps w:val="false"/>
          <w:smallCaps w:val="false"/>
          <w:sz w:val="20"/>
        </w:rPr>
        <w:t>SCHEDULE OF CURRENT AND DEFERRED COMPONENTS </w:t>
      </w:r>
    </w:p>
    <w:tbl>
      <w:tblPr>
        <w:tblW w:w="6036" w:type="dxa"/>
        <w:jc w:val="left"/>
        <w:tblInd w:w="0" w:type="dxa"/>
        <w:tblLayout w:type="fixed"/>
        <w:tblCellMar>
          <w:top w:w="0" w:type="dxa"/>
          <w:left w:w="0" w:type="dxa"/>
          <w:bottom w:w="0" w:type="dxa"/>
          <w:right w:w="0" w:type="dxa"/>
        </w:tblCellMar>
      </w:tblPr>
      <w:tblGrid>
        <w:gridCol w:w="3095"/>
        <w:gridCol w:w="60"/>
        <w:gridCol w:w="97"/>
        <w:gridCol w:w="1107"/>
        <w:gridCol w:w="153"/>
        <w:gridCol w:w="97"/>
        <w:gridCol w:w="97"/>
        <w:gridCol w:w="1220"/>
        <w:gridCol w:w="110"/>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09" w:name="xdx_497_20250101__20250630_zsAgDJVPrhn"/>
            <w:bookmarkEnd w:id="709"/>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3"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710" w:name="xdx_492_20260101__20260630_zfs3pgil7CWg"/>
            <w:bookmarkEnd w:id="710"/>
          </w:p>
        </w:tc>
        <w:tc>
          <w:tcPr>
            <w:tcW w:w="13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3"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53"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53"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711" w:name="xdx_40D_eus-gaap--CurrentIncomeTaxExpens"/>
            <w:bookmarkEnd w:id="711"/>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tax expenses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18,520</w:t>
            </w:r>
          </w:p>
        </w:tc>
        <w:tc>
          <w:tcPr>
            <w:tcW w:w="15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3,836</w:t>
            </w:r>
          </w:p>
        </w:tc>
        <w:tc>
          <w:tcPr>
            <w:tcW w:w="110" w:type="dxa"/>
            <w:tcBorders/>
            <w:shd w:fill="CCEEFF" w:val="clear"/>
            <w:vAlign w:val="center"/>
          </w:tcPr>
          <w:p>
            <w:pPr>
              <w:pStyle w:val="TableContents"/>
              <w:bidi w:val="0"/>
              <w:spacing w:before="0" w:after="283"/>
              <w:jc w:val="left"/>
              <w:rPr/>
            </w:pPr>
            <w:r>
              <w:rPr/>
              <w:t> </w:t>
            </w:r>
            <w:bookmarkStart w:id="712" w:name="xdx_403_eus-gaap--DeferredIncomeTaxExpen"/>
            <w:bookmarkEnd w:id="712"/>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benefits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3" w:name="xdx_408_eus-gaap--IncomeTaxExpenseBenefi"/>
            <w:bookmarkEnd w:id="713"/>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expenses (benefits)</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17,006</w:t>
            </w:r>
          </w:p>
        </w:tc>
        <w:tc>
          <w:tcPr>
            <w:tcW w:w="15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(9,486</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600" w:right="0" w:hanging="0"/>
        <w:jc w:val="left"/>
        <w:rPr>
          <w:caps w:val="false"/>
          <w:smallCaps w:val="false"/>
        </w:rPr>
      </w:pPr>
      <w:bookmarkStart w:id="714" w:name="xdx_8A8_zH3W94EJRVy2"/>
      <w:bookmarkEnd w:id="714"/>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15" w:name="xdx_893_eus-gaap--ScheduleOfEffectiveInc"/>
      <w:bookmarkEnd w:id="715"/>
      <w:r>
        <w:rPr>
          <w:rFonts w:ascii="Times New Roman;Times;Serif" w:hAnsi="Times New Roman;Times;Serif"/>
          <w:b w:val="false"/>
          <w:i w:val="false"/>
          <w:caps w:val="false"/>
          <w:smallCaps w:val="false"/>
          <w:sz w:val="20"/>
        </w:rPr>
        <w:t>Reconciliation between the income tax expenses (benefits) computed by applying the PRC enterprise tax rate to income (loss) before income taxes and actual provision were as follows:</w:t>
      </w:r>
    </w:p>
    <w:p>
      <w:pPr>
        <w:pStyle w:val="TextBody"/>
        <w:bidi w:val="0"/>
        <w:spacing w:before="0" w:after="0"/>
        <w:ind w:left="600" w:right="0" w:hanging="0"/>
        <w:jc w:val="left"/>
        <w:rPr>
          <w:caps w:val="false"/>
          <w:smallCaps w:val="false"/>
        </w:rPr>
      </w:pPr>
      <w:r>
        <w:rPr>
          <w:caps w:val="false"/>
          <w:smallCaps w:val="false"/>
        </w:rPr>
        <w:t> </w:t>
      </w:r>
      <w:bookmarkStart w:id="716" w:name="xdx_8BD_zkYqPqz3kSg1"/>
      <w:bookmarkEnd w:id="716"/>
      <w:r>
        <w:rPr>
          <w:rFonts w:ascii="Times New Roman;Times;Serif" w:hAnsi="Times New Roman;Times;Serif"/>
          <w:b w:val="false"/>
          <w:i w:val="false"/>
          <w:caps w:val="false"/>
          <w:smallCaps w:val="false"/>
          <w:sz w:val="20"/>
        </w:rPr>
        <w:t>SCHEDULE OF RECONCILIATION INCOME TAX EXPENSES </w:t>
      </w:r>
    </w:p>
    <w:tbl>
      <w:tblPr>
        <w:tblW w:w="10205" w:type="dxa"/>
        <w:jc w:val="left"/>
        <w:tblInd w:w="0" w:type="dxa"/>
        <w:tblLayout w:type="fixed"/>
        <w:tblCellMar>
          <w:top w:w="0" w:type="dxa"/>
          <w:left w:w="0" w:type="dxa"/>
          <w:bottom w:w="0" w:type="dxa"/>
          <w:right w:w="0" w:type="dxa"/>
        </w:tblCellMar>
      </w:tblPr>
      <w:tblGrid>
        <w:gridCol w:w="6366"/>
        <w:gridCol w:w="60"/>
        <w:gridCol w:w="60"/>
        <w:gridCol w:w="800"/>
        <w:gridCol w:w="95"/>
        <w:gridCol w:w="60"/>
        <w:gridCol w:w="60"/>
        <w:gridCol w:w="515"/>
        <w:gridCol w:w="284"/>
        <w:gridCol w:w="60"/>
        <w:gridCol w:w="60"/>
        <w:gridCol w:w="755"/>
        <w:gridCol w:w="95"/>
        <w:gridCol w:w="60"/>
        <w:gridCol w:w="60"/>
        <w:gridCol w:w="515"/>
        <w:gridCol w:w="300"/>
      </w:tblGrid>
      <w:tr>
        <w:trPr/>
        <w:tc>
          <w:tcPr>
            <w:tcW w:w="6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17" w:name="xdx_490_20250101__20250630_zgTJlwR7HA78"/>
            <w:bookmarkEnd w:id="717"/>
          </w:p>
        </w:tc>
        <w:tc>
          <w:tcPr>
            <w:tcW w:w="15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8" w:name="xdx_496_20260101__20260630_ziJbkYAUjrs6"/>
            <w:bookmarkEnd w:id="718"/>
          </w:p>
        </w:tc>
        <w:tc>
          <w:tcPr>
            <w:tcW w:w="1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300" w:type="dxa"/>
            <w:tcBorders/>
            <w:vAlign w:val="center"/>
          </w:tcPr>
          <w:p>
            <w:pPr>
              <w:pStyle w:val="TableContents"/>
              <w:bidi w:val="0"/>
              <w:spacing w:before="0" w:after="283"/>
              <w:jc w:val="left"/>
              <w:rPr/>
            </w:pPr>
            <w:r>
              <w:rPr/>
              <w:t> </w:t>
            </w:r>
          </w:p>
        </w:tc>
      </w:tr>
      <w:tr>
        <w:trPr/>
        <w:tc>
          <w:tcPr>
            <w:tcW w:w="6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300" w:type="dxa"/>
            <w:tcBorders/>
            <w:vAlign w:val="center"/>
          </w:tcPr>
          <w:p>
            <w:pPr>
              <w:pStyle w:val="TableContents"/>
              <w:bidi w:val="0"/>
              <w:spacing w:before="0" w:after="283"/>
              <w:jc w:val="left"/>
              <w:rPr/>
            </w:pPr>
            <w:r>
              <w:rPr/>
              <w:t> </w:t>
            </w:r>
          </w:p>
        </w:tc>
      </w:tr>
      <w:tr>
        <w:trPr/>
        <w:tc>
          <w:tcPr>
            <w:tcW w:w="6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300" w:type="dxa"/>
            <w:tcBorders/>
            <w:vAlign w:val="center"/>
          </w:tcPr>
          <w:p>
            <w:pPr>
              <w:pStyle w:val="TableContents"/>
              <w:bidi w:val="0"/>
              <w:spacing w:before="0" w:after="283"/>
              <w:jc w:val="left"/>
              <w:rPr/>
            </w:pPr>
            <w:r>
              <w:rPr/>
              <w:t> </w:t>
            </w:r>
          </w:p>
        </w:tc>
      </w:tr>
      <w:tr>
        <w:trPr/>
        <w:tc>
          <w:tcPr>
            <w:tcW w:w="6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00" w:type="dxa"/>
            <w:tcBorders/>
            <w:vAlign w:val="center"/>
          </w:tcPr>
          <w:p>
            <w:pPr>
              <w:pStyle w:val="TableContents"/>
              <w:bidi w:val="0"/>
              <w:spacing w:before="0" w:after="283"/>
              <w:jc w:val="left"/>
              <w:rPr/>
            </w:pPr>
            <w:r>
              <w:rPr/>
              <w:t> </w:t>
            </w:r>
          </w:p>
        </w:tc>
      </w:tr>
      <w:tr>
        <w:trPr/>
        <w:tc>
          <w:tcPr>
            <w:tcW w:w="6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300" w:type="dxa"/>
            <w:tcBorders/>
            <w:vAlign w:val="center"/>
          </w:tcPr>
          <w:p>
            <w:pPr>
              <w:pStyle w:val="TableContents"/>
              <w:bidi w:val="0"/>
              <w:spacing w:before="0" w:after="283"/>
              <w:jc w:val="left"/>
              <w:rPr/>
            </w:pPr>
            <w:r>
              <w:rPr/>
              <w:t> </w:t>
            </w:r>
            <w:bookmarkStart w:id="719" w:name="xdx_404_eus-gaap--IncomeLossFromContinui"/>
            <w:bookmarkEnd w:id="719"/>
          </w:p>
        </w:tc>
      </w:tr>
      <w:tr>
        <w:trPr/>
        <w:tc>
          <w:tcPr>
            <w:tcW w:w="6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(loss) from operations in the PRC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bookmarkStart w:id="720" w:name="xdx_40D_eus-gaap--IncomeLossFromContinui"/>
            <w:bookmarkEnd w:id="720"/>
          </w:p>
        </w:tc>
      </w:tr>
      <w:tr>
        <w:trPr/>
        <w:tc>
          <w:tcPr>
            <w:tcW w:w="63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(loss) from overseas entities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bookmarkStart w:id="721" w:name="xdx_40F_eus-gaap--IncomeLossFromContinui"/>
            <w:bookmarkEnd w:id="721"/>
          </w:p>
        </w:tc>
      </w:tr>
      <w:tr>
        <w:trPr/>
        <w:tc>
          <w:tcPr>
            <w:tcW w:w="636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137,534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(36,253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bookmarkStart w:id="722" w:name="xdx_400_eus-gaap--IncomeTaxReconciliatio"/>
            <w:bookmarkEnd w:id="722"/>
          </w:p>
        </w:tc>
      </w:tr>
      <w:tr>
        <w:trPr/>
        <w:tc>
          <w:tcPr>
            <w:tcW w:w="6366" w:type="dxa"/>
            <w:tcBorders/>
            <w:shd w:fill="FFFFFF" w:val="clear"/>
            <w:vAlign w:val="center"/>
          </w:tcPr>
          <w:p>
            <w:pPr>
              <w:pStyle w:val="TableContents"/>
              <w:bidi w:val="0"/>
              <w:spacing w:before="0" w:after="283"/>
              <w:jc w:val="left"/>
              <w:rPr>
                <w:rFonts w:ascii="Times New Roman;Times;Serif" w:hAnsi="Times New Roman;Times;Serif"/>
              </w:rPr>
            </w:pPr>
            <w:bookmarkStart w:id="723" w:name="xdx_904_eus-gaap--TaxJurisdictionOfDomic"/>
            <w:bookmarkStart w:id="724" w:name="xdx_907_eus-gaap--TaxJurisdictionOfDomic"/>
            <w:bookmarkEnd w:id="723"/>
            <w:bookmarkEnd w:id="724"/>
            <w:r>
              <w:rPr>
                <w:rFonts w:ascii="Times New Roman;Times;Serif" w:hAnsi="Times New Roman;Times;Serif"/>
              </w:rPr>
              <w:t>Tax expenses (benefits) from overseas entities at PRC enterprise income tax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25" w:name="xdx_98E_eus-gaap--EffectiveIncomeTaxRate"/>
            <w:bookmarkEnd w:id="725"/>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2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26" w:name="xdx_985_eus-gaap--EffectiveIncomeTaxRate"/>
            <w:bookmarkEnd w:id="726"/>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income tax in jurisdictions other than the PRC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bookmarkStart w:id="727" w:name="xdx_90F_eus-gaap--IncomeTaxReconciliatio"/>
            <w:bookmarkEnd w:id="727"/>
            <w:r>
              <w:rPr>
                <w:rFonts w:ascii="Times New Roman;Times;Serif" w:hAnsi="Times New Roman;Times;Serif"/>
              </w:rPr>
              <w:t>(2,285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28" w:name="xdx_98A_eus-gaap--EffectiveIncomeTaxRate"/>
            <w:bookmarkEnd w:id="728"/>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bookmarkStart w:id="729" w:name="xdx_909_eus-gaap--IncomeTaxReconciliatio"/>
            <w:bookmarkEnd w:id="729"/>
            <w:r>
              <w:rPr>
                <w:rFonts w:ascii="Times New Roman;Times;Serif" w:hAnsi="Times New Roman;Times;Serif"/>
              </w:rPr>
              <w:t>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30" w:name="xdx_982_eus-gaap--EffectiveIncomeTaxRate"/>
            <w:bookmarkEnd w:id="730"/>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on tax holiday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bookmarkStart w:id="731" w:name="xdx_901_ecustom--IncomeTaxReconciliation"/>
            <w:bookmarkEnd w:id="731"/>
            <w:r>
              <w:rPr>
                <w:rFonts w:ascii="Times New Roman;Times;Serif" w:hAnsi="Times New Roman;Times;Serif"/>
              </w:rPr>
              <w:t>(14,993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32" w:name="xdx_989_ecustom--EffectiveIncomeTaxRateR"/>
            <w:bookmarkEnd w:id="732"/>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2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bookmarkStart w:id="733" w:name="xdx_90C_ecustom--IncomeTaxReconciliation"/>
            <w:bookmarkEnd w:id="733"/>
            <w:r>
              <w:rPr>
                <w:rFonts w:ascii="Times New Roman;Times;Serif" w:hAnsi="Times New Roman;Times;Serif"/>
              </w:rPr>
              <w:t>3,406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34" w:name="xdx_981_ecustom--EffectiveIncomeTaxRateR"/>
            <w:bookmarkEnd w:id="734"/>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effect of permanent differences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bookmarkStart w:id="735" w:name="xdx_901_eus-gaap--IncomeTaxReconciliatio"/>
            <w:bookmarkEnd w:id="735"/>
            <w:r>
              <w:rPr>
                <w:rFonts w:ascii="Times New Roman;Times;Serif" w:hAnsi="Times New Roman;Times;Serif"/>
              </w:rPr>
              <w:t>(7,050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36" w:name="xdx_989_eus-gaap--EffectiveIncomeTaxRate"/>
            <w:bookmarkEnd w:id="736"/>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bookmarkStart w:id="737" w:name="xdx_90B_eus-gaap--IncomeTaxReconciliatio"/>
            <w:bookmarkEnd w:id="737"/>
            <w:r>
              <w:rPr>
                <w:rFonts w:ascii="Times New Roman;Times;Serif" w:hAnsi="Times New Roman;Times;Serif"/>
              </w:rPr>
              <w:t>(9,209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38" w:name="xdx_980_eus-gaap--EffectiveIncomeTaxRate"/>
            <w:bookmarkEnd w:id="738"/>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w:t>
            </w:r>
          </w:p>
        </w:tc>
        <w:tc>
          <w:tcPr>
            <w:tcW w:w="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bookmarkStart w:id="739" w:name="xdx_902_eus-gaap--IncomeTaxReconciliatio"/>
            <w:bookmarkEnd w:id="739"/>
            <w:r>
              <w:rPr>
                <w:rFonts w:ascii="Times New Roman;Times;Serif" w:hAnsi="Times New Roman;Times;Serif"/>
              </w:rPr>
              <w:t>5,876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40" w:name="xdx_98F_eus-gaap--EffectiveIncomeTaxRate"/>
            <w:bookmarkEnd w:id="740"/>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bookmarkStart w:id="741" w:name="xdx_906_eus-gaap--IncomeTaxReconciliatio"/>
            <w:bookmarkEnd w:id="741"/>
            <w:r>
              <w:rPr>
                <w:rFonts w:ascii="Times New Roman;Times;Serif" w:hAnsi="Times New Roman;Times;Serif"/>
              </w:rPr>
              <w:t>3,818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42" w:name="xdx_988_eus-gaap--EffectiveIncomeTaxRate"/>
            <w:bookmarkEnd w:id="742"/>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743" w:name="xdx_90A_eus-gaap--EffectiveIncomeTaxRate"/>
            <w:bookmarkEnd w:id="743"/>
            <w:r>
              <w:rPr>
                <w:rFonts w:ascii="Times New Roman;Times;Serif" w:hAnsi="Times New Roman;Times;Serif"/>
              </w:rPr>
              <w:t>1,074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4" w:name="xdx_98A_eus-gaap--EffectiveIncomeTaxRate"/>
            <w:bookmarkEnd w:id="744"/>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745" w:name="xdx_909_eus-gaap--EffectiveIncomeTaxRate"/>
            <w:bookmarkEnd w:id="745"/>
            <w:r>
              <w:rPr>
                <w:rFonts w:ascii="Times New Roman;Times;Serif" w:hAnsi="Times New Roman;Times;Serif"/>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6" w:name="xdx_985_eus-gaap--EffectiveIncomeTaxRate"/>
            <w:bookmarkEnd w:id="746"/>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expenses (benefits)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747" w:name="xdx_900_eus-gaap--IncomeTaxExpenseBenefi"/>
            <w:bookmarkEnd w:id="747"/>
            <w:r>
              <w:rPr>
                <w:rFonts w:ascii="Times New Roman;Times;Serif" w:hAnsi="Times New Roman;Times;Serif"/>
                <w:b/>
              </w:rPr>
              <w:t>17,006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748" w:name="xdx_909_eus-gaap--EffectiveIncomeTaxRate"/>
            <w:bookmarkEnd w:id="748"/>
            <w:r>
              <w:rPr>
                <w:rFonts w:ascii="Times New Roman;Times;Serif" w:hAnsi="Times New Roman;Times;Serif"/>
                <w:b/>
              </w:rPr>
              <w:t>12.4</w:t>
            </w:r>
          </w:p>
        </w:tc>
        <w:tc>
          <w:tcPr>
            <w:tcW w:w="2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749" w:name="xdx_906_eus-gaap--IncomeTaxExpenseBenefi"/>
            <w:bookmarkEnd w:id="749"/>
            <w:r>
              <w:rPr>
                <w:rFonts w:ascii="Times New Roman;Times;Serif" w:hAnsi="Times New Roman;Times;Serif"/>
                <w:b/>
              </w:rPr>
              <w:t>(9,486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750" w:name="xdx_903_eus-gaap--EffectiveIncomeTaxRate"/>
            <w:bookmarkEnd w:id="750"/>
            <w:r>
              <w:rPr>
                <w:rFonts w:ascii="Times New Roman;Times;Serif" w:hAnsi="Times New Roman;Times;Serif"/>
                <w:b/>
              </w:rPr>
              <w:t>26.2</w:t>
            </w:r>
          </w:p>
        </w:tc>
        <w:tc>
          <w:tcPr>
            <w:tcW w:w="3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600" w:right="0" w:hanging="0"/>
        <w:jc w:val="left"/>
        <w:rPr>
          <w:caps w:val="false"/>
          <w:smallCaps w:val="false"/>
        </w:rPr>
      </w:pPr>
      <w:bookmarkStart w:id="751" w:name="xdx_8AD_zWE5QE5iECg9"/>
      <w:bookmarkEnd w:id="75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52" w:name="xdx_890_eus-gaap--SummaryOfIncomeTaxHoli"/>
      <w:bookmarkEnd w:id="752"/>
      <w:r>
        <w:rPr>
          <w:rFonts w:ascii="Times New Roman;Times;Serif" w:hAnsi="Times New Roman;Times;Serif"/>
          <w:b w:val="false"/>
          <w:i w:val="false"/>
          <w:caps w:val="false"/>
          <w:smallCaps w:val="false"/>
          <w:sz w:val="20"/>
        </w:rPr>
        <w:t>The per share effect of the tax holidays were as follows:</w:t>
      </w:r>
    </w:p>
    <w:p>
      <w:pPr>
        <w:pStyle w:val="TextBody"/>
        <w:bidi w:val="0"/>
        <w:spacing w:before="0" w:after="0"/>
        <w:ind w:left="720" w:right="0" w:hanging="0"/>
        <w:jc w:val="both"/>
        <w:rPr>
          <w:caps w:val="false"/>
          <w:smallCaps w:val="false"/>
        </w:rPr>
      </w:pPr>
      <w:r>
        <w:rPr>
          <w:caps w:val="false"/>
          <w:smallCaps w:val="false"/>
        </w:rPr>
        <w:t> </w:t>
      </w:r>
      <w:bookmarkStart w:id="753" w:name="xdx_8B9_z2FwKwyqJEXb"/>
      <w:bookmarkEnd w:id="753"/>
      <w:r>
        <w:rPr>
          <w:rFonts w:ascii="Times New Roman;Times;Serif" w:hAnsi="Times New Roman;Times;Serif"/>
          <w:b w:val="false"/>
          <w:i w:val="false"/>
          <w:caps w:val="false"/>
          <w:smallCaps w:val="false"/>
          <w:sz w:val="20"/>
        </w:rPr>
        <w:t>SCHEDULE OF PER SHARES EFFECT OF TAX</w:t>
      </w:r>
    </w:p>
    <w:tbl>
      <w:tblPr>
        <w:tblW w:w="6944" w:type="dxa"/>
        <w:jc w:val="left"/>
        <w:tblInd w:w="0" w:type="dxa"/>
        <w:tblLayout w:type="fixed"/>
        <w:tblCellMar>
          <w:top w:w="0" w:type="dxa"/>
          <w:left w:w="0" w:type="dxa"/>
          <w:bottom w:w="0" w:type="dxa"/>
          <w:right w:w="0" w:type="dxa"/>
        </w:tblCellMar>
      </w:tblPr>
      <w:tblGrid>
        <w:gridCol w:w="3965"/>
        <w:gridCol w:w="60"/>
        <w:gridCol w:w="143"/>
        <w:gridCol w:w="1061"/>
        <w:gridCol w:w="138"/>
        <w:gridCol w:w="138"/>
        <w:gridCol w:w="138"/>
        <w:gridCol w:w="1191"/>
        <w:gridCol w:w="11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54" w:name="xdx_499_20250101__20250630_z71Kh862kQn9"/>
            <w:bookmarkEnd w:id="754"/>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bookmarkStart w:id="755" w:name="xdx_494_20260101__20260630_zYXiMIl52GB2"/>
            <w:bookmarkEnd w:id="755"/>
          </w:p>
        </w:tc>
        <w:tc>
          <w:tcPr>
            <w:tcW w:w="13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756" w:name="xdx_401_ecustom--IncomeTaxHolidayIncomeT"/>
            <w:bookmarkEnd w:id="756"/>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effect–basic</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7" w:name="xdx_40B_ecustom--IncomeTaxHolidayIncomeT"/>
            <w:bookmarkEnd w:id="757"/>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effect–diluted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600" w:right="0" w:hanging="0"/>
        <w:jc w:val="left"/>
        <w:rPr>
          <w:caps w:val="false"/>
          <w:smallCaps w:val="false"/>
        </w:rPr>
      </w:pPr>
      <w:bookmarkStart w:id="758" w:name="xdx_8A3_z3fHAFwKKwNi"/>
      <w:bookmarkEnd w:id="758"/>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assets</w:t>
      </w:r>
    </w:p>
    <w:p>
      <w:pPr>
        <w:pStyle w:val="TextBody"/>
        <w:bidi w:val="0"/>
        <w:spacing w:before="0" w:after="0"/>
        <w:ind w:left="60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59" w:name="xdx_896_eus-gaap--ScheduleOfDeferredTaxA"/>
      <w:bookmarkEnd w:id="759"/>
      <w:r>
        <w:rPr>
          <w:rFonts w:ascii="Times New Roman;Times;Serif" w:hAnsi="Times New Roman;Times;Serif"/>
          <w:b w:val="false"/>
          <w:i w:val="false"/>
          <w:caps w:val="false"/>
          <w:smallCaps w:val="false"/>
          <w:sz w:val="20"/>
        </w:rPr>
        <w:t>The significant components of the Group’s deferred tax assets were as follows:</w:t>
      </w:r>
    </w:p>
    <w:p>
      <w:pPr>
        <w:pStyle w:val="TextBody"/>
        <w:bidi w:val="0"/>
        <w:spacing w:before="0" w:after="0"/>
        <w:ind w:left="600" w:right="0" w:hanging="0"/>
        <w:jc w:val="left"/>
        <w:rPr>
          <w:caps w:val="false"/>
          <w:smallCaps w:val="false"/>
        </w:rPr>
      </w:pPr>
      <w:r>
        <w:rPr>
          <w:caps w:val="false"/>
          <w:smallCaps w:val="false"/>
        </w:rPr>
        <w:t>  </w:t>
      </w:r>
      <w:bookmarkStart w:id="760" w:name="xdx_8B6_zPNh5rfbbBP6"/>
      <w:bookmarkEnd w:id="760"/>
      <w:r>
        <w:rPr>
          <w:rFonts w:ascii="Times New Roman;Times;Serif" w:hAnsi="Times New Roman;Times;Serif"/>
          <w:b w:val="false"/>
          <w:i w:val="false"/>
          <w:caps w:val="false"/>
          <w:smallCaps w:val="false"/>
          <w:sz w:val="20"/>
        </w:rPr>
        <w:t>SCHEDULE OF DEFERRED TAX ASSETS</w:t>
      </w:r>
    </w:p>
    <w:tbl>
      <w:tblPr>
        <w:tblW w:w="6968" w:type="dxa"/>
        <w:jc w:val="left"/>
        <w:tblInd w:w="0" w:type="dxa"/>
        <w:tblLayout w:type="fixed"/>
        <w:tblCellMar>
          <w:top w:w="0" w:type="dxa"/>
          <w:left w:w="0" w:type="dxa"/>
          <w:bottom w:w="0" w:type="dxa"/>
          <w:right w:w="0" w:type="dxa"/>
        </w:tblCellMar>
      </w:tblPr>
      <w:tblGrid>
        <w:gridCol w:w="3185"/>
        <w:gridCol w:w="60"/>
        <w:gridCol w:w="145"/>
        <w:gridCol w:w="1854"/>
        <w:gridCol w:w="95"/>
        <w:gridCol w:w="60"/>
        <w:gridCol w:w="107"/>
        <w:gridCol w:w="1352"/>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1" w:name="xdx_491_20251231_zy9Kx7aKHhM1"/>
            <w:bookmarkEnd w:id="761"/>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2" w:name="xdx_49C_20260630_zBrk3zmMGC5"/>
            <w:bookmarkEnd w:id="762"/>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763" w:name="xdx_403_eus-gaap--DeferredTaxAssetsOpera"/>
            <w:bookmarkEnd w:id="763"/>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 forwards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66,838</w:t>
            </w:r>
          </w:p>
        </w:tc>
        <w:tc>
          <w:tcPr>
            <w:tcW w:w="110" w:type="dxa"/>
            <w:tcBorders/>
            <w:shd w:fill="CCEEFF" w:val="clear"/>
            <w:vAlign w:val="center"/>
          </w:tcPr>
          <w:p>
            <w:pPr>
              <w:pStyle w:val="TableContents"/>
              <w:bidi w:val="0"/>
              <w:spacing w:before="0" w:after="283"/>
              <w:jc w:val="left"/>
              <w:rPr/>
            </w:pPr>
            <w:r>
              <w:rPr/>
              <w:t> </w:t>
            </w:r>
            <w:bookmarkStart w:id="764" w:name="xdx_401_eus-gaap--DeferredTaxAssetsOther"/>
            <w:bookmarkEnd w:id="764"/>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8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8,161</w:t>
            </w:r>
          </w:p>
        </w:tc>
        <w:tc>
          <w:tcPr>
            <w:tcW w:w="110" w:type="dxa"/>
            <w:tcBorders/>
            <w:shd w:fill="FFFFFF" w:val="clear"/>
            <w:vAlign w:val="center"/>
          </w:tcPr>
          <w:p>
            <w:pPr>
              <w:pStyle w:val="TableContents"/>
              <w:bidi w:val="0"/>
              <w:spacing w:before="0" w:after="283"/>
              <w:jc w:val="left"/>
              <w:rPr/>
            </w:pPr>
            <w:r>
              <w:rPr/>
              <w:t> </w:t>
            </w:r>
            <w:bookmarkStart w:id="765" w:name="xdx_406_eus-gaap--DeferredTaxAssetsInven"/>
            <w:bookmarkEnd w:id="765"/>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 write downs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0" w:type="dxa"/>
            <w:tcBorders/>
            <w:shd w:fill="CCEEFF" w:val="clear"/>
            <w:vAlign w:val="center"/>
          </w:tcPr>
          <w:p>
            <w:pPr>
              <w:pStyle w:val="TableContents"/>
              <w:bidi w:val="0"/>
              <w:spacing w:before="0" w:after="283"/>
              <w:jc w:val="left"/>
              <w:rPr/>
            </w:pPr>
            <w:r>
              <w:rPr/>
              <w:t> </w:t>
            </w:r>
            <w:bookmarkStart w:id="766" w:name="xdx_40E_eus-gaap--DeferredTaxAssetsDefer"/>
            <w:bookmarkEnd w:id="766"/>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FFFFFF" w:val="clear"/>
            <w:vAlign w:val="center"/>
          </w:tcPr>
          <w:p>
            <w:pPr>
              <w:pStyle w:val="TableContents"/>
              <w:bidi w:val="0"/>
              <w:spacing w:before="0" w:after="283"/>
              <w:jc w:val="left"/>
              <w:rPr/>
            </w:pPr>
            <w:r>
              <w:rPr/>
              <w:t> </w:t>
            </w:r>
            <w:bookmarkStart w:id="767" w:name="xdx_401_eus-gaap--DeferredTaxAssetsGross"/>
            <w:bookmarkEnd w:id="767"/>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deferred tax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5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75,172</w:t>
            </w:r>
          </w:p>
        </w:tc>
        <w:tc>
          <w:tcPr>
            <w:tcW w:w="110" w:type="dxa"/>
            <w:tcBorders/>
            <w:shd w:fill="CCEEFF" w:val="clear"/>
            <w:vAlign w:val="center"/>
          </w:tcPr>
          <w:p>
            <w:pPr>
              <w:pStyle w:val="TableContents"/>
              <w:bidi w:val="0"/>
              <w:spacing w:before="0" w:after="283"/>
              <w:jc w:val="left"/>
              <w:rPr/>
            </w:pPr>
            <w:r>
              <w:rPr/>
              <w:t> </w:t>
            </w:r>
            <w:bookmarkStart w:id="768" w:name="xdx_409_eus-gaap--DeferredTaxAssetsValua"/>
            <w:bookmarkEnd w:id="768"/>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69" w:name="xdx_401_eus-gaap--DeferredTaxAssetsNet_i"/>
            <w:bookmarkEnd w:id="769"/>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assets, net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21,737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left"/>
        <w:rPr>
          <w:caps w:val="false"/>
          <w:smallCaps w:val="false"/>
        </w:rPr>
      </w:pPr>
      <w:bookmarkStart w:id="770" w:name="xdx_8AB_zmkoxkecIF06"/>
      <w:bookmarkEnd w:id="770"/>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Movement of valuation allowance:</w:t>
      </w:r>
    </w:p>
    <w:p>
      <w:pPr>
        <w:pStyle w:val="TextBody"/>
        <w:bidi w:val="0"/>
        <w:spacing w:before="0" w:after="0"/>
        <w:ind w:left="600" w:right="0" w:hanging="0"/>
        <w:jc w:val="left"/>
        <w:rPr>
          <w:caps w:val="false"/>
          <w:smallCaps w:val="false"/>
        </w:rPr>
      </w:pPr>
      <w:bookmarkStart w:id="771" w:name="xdx_890_eus-gaap--SummaryOfValuationAllo"/>
      <w:bookmarkEnd w:id="771"/>
      <w:r>
        <w:rPr>
          <w:caps w:val="false"/>
          <w:smallCaps w:val="false"/>
        </w:rPr>
        <w:t>  </w:t>
      </w:r>
      <w:bookmarkStart w:id="772" w:name="xdx_8B5_zXjM2RdS3zm8"/>
      <w:bookmarkEnd w:id="772"/>
      <w:r>
        <w:rPr>
          <w:rFonts w:ascii="Times New Roman;Times;Serif" w:hAnsi="Times New Roman;Times;Serif"/>
          <w:b w:val="false"/>
          <w:i/>
          <w:caps w:val="false"/>
          <w:smallCaps w:val="false"/>
          <w:sz w:val="20"/>
        </w:rPr>
        <w:t>SCHEDULE OF MOVEMENT OF VALUATION ALLOWANCE</w:t>
      </w:r>
    </w:p>
    <w:tbl>
      <w:tblPr>
        <w:tblW w:w="6187" w:type="dxa"/>
        <w:jc w:val="left"/>
        <w:tblInd w:w="0" w:type="dxa"/>
        <w:tblLayout w:type="fixed"/>
        <w:tblCellMar>
          <w:top w:w="0" w:type="dxa"/>
          <w:left w:w="0" w:type="dxa"/>
          <w:bottom w:w="0" w:type="dxa"/>
          <w:right w:w="0" w:type="dxa"/>
        </w:tblCellMar>
      </w:tblPr>
      <w:tblGrid>
        <w:gridCol w:w="3290"/>
        <w:gridCol w:w="60"/>
        <w:gridCol w:w="103"/>
        <w:gridCol w:w="1175"/>
        <w:gridCol w:w="103"/>
        <w:gridCol w:w="103"/>
        <w:gridCol w:w="103"/>
        <w:gridCol w:w="1175"/>
        <w:gridCol w:w="75"/>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73" w:name="xdx_49A_20250101__20250630_zJGYPTaK8OXh"/>
            <w:bookmarkEnd w:id="773"/>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bookmarkStart w:id="774" w:name="xdx_497_20260101__20260630_zfkWxGZKzC1h"/>
            <w:bookmarkEnd w:id="774"/>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bookmarkStart w:id="775" w:name="xdx_40B_eus-gaap--ValuationAllowancesAnd"/>
            <w:bookmarkEnd w:id="775"/>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40,032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w:t>
            </w:r>
          </w:p>
        </w:tc>
        <w:tc>
          <w:tcPr>
            <w:tcW w:w="75" w:type="dxa"/>
            <w:tcBorders/>
            <w:shd w:fill="CCEEFF" w:val="clear"/>
            <w:vAlign w:val="center"/>
          </w:tcPr>
          <w:p>
            <w:pPr>
              <w:pStyle w:val="TableContents"/>
              <w:bidi w:val="0"/>
              <w:spacing w:before="0" w:after="283"/>
              <w:jc w:val="left"/>
              <w:rPr/>
            </w:pPr>
            <w:r>
              <w:rPr/>
              <w:t> </w:t>
            </w:r>
            <w:bookmarkStart w:id="776" w:name="xdx_405_eus-gaap--ValuationAllowancesAnd"/>
            <w:bookmarkEnd w:id="776"/>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Provided</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3,818</w:t>
            </w:r>
          </w:p>
        </w:tc>
        <w:tc>
          <w:tcPr>
            <w:tcW w:w="75" w:type="dxa"/>
            <w:tcBorders/>
            <w:shd w:fill="FFFFFF" w:val="clear"/>
            <w:vAlign w:val="center"/>
          </w:tcPr>
          <w:p>
            <w:pPr>
              <w:pStyle w:val="TableContents"/>
              <w:bidi w:val="0"/>
              <w:spacing w:before="0" w:after="283"/>
              <w:jc w:val="left"/>
              <w:rPr/>
            </w:pPr>
            <w:r>
              <w:rPr/>
              <w:t> </w:t>
            </w:r>
            <w:bookmarkStart w:id="777" w:name="xdx_406_eus-gaap--ValuationAllowancesAnd"/>
            <w:bookmarkEnd w:id="777"/>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end of the period</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45,908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left"/>
        <w:rPr>
          <w:caps w:val="false"/>
          <w:smallCaps w:val="false"/>
        </w:rPr>
      </w:pPr>
      <w:bookmarkStart w:id="778" w:name="xdx_8A3_zS3xUyjg0rg9"/>
      <w:bookmarkEnd w:id="778"/>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the level of authority for each uncertain tax position (including the potential application of interest and penalties) based on the technical merits, and measures the unrecognized benefits associated with the tax positions. As of December 31, 2025 and June 30, 2026, the Group did </w:t>
      </w:r>
      <w:bookmarkStart w:id="779" w:name="xdx_903_eus-gaap--UnrecognizedTaxBenefit"/>
      <w:bookmarkStart w:id="780" w:name="xdx_90C_eus-gaap--UnrecognizedTaxBenefit"/>
      <w:bookmarkEnd w:id="779"/>
      <w:bookmarkEnd w:id="780"/>
      <w:r>
        <w:rPr>
          <w:rFonts w:ascii="Times New Roman;Times;Serif" w:hAnsi="Times New Roman;Times;Serif"/>
          <w:b w:val="false"/>
          <w:i w:val="false"/>
          <w:caps w:val="false"/>
          <w:smallCaps w:val="false"/>
          <w:sz w:val="20"/>
        </w:rPr>
        <w:t>not have any significant unrecognized uncertain tax positions.</w:t>
      </w:r>
    </w:p>
    <w:p>
      <w:pPr>
        <w:pStyle w:val="TextBody"/>
        <w:bidi w:val="0"/>
        <w:spacing w:before="0" w:after="0"/>
        <w:ind w:left="60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PRC Tax Administration and Collection Law, the statute of limitations is generally </w:t>
      </w:r>
      <w:bookmarkStart w:id="781" w:name="xdx_904_ecustom--StatuteOfLimitations_dc"/>
      <w:bookmarkEnd w:id="781"/>
      <w:r>
        <w:rPr>
          <w:rFonts w:ascii="Times New Roman;Times;Serif" w:hAnsi="Times New Roman;Times;Serif"/>
          <w:b w:val="false"/>
          <w:i w:val="false"/>
          <w:caps w:val="false"/>
          <w:smallCaps w:val="false"/>
          <w:sz w:val="20"/>
        </w:rPr>
        <w:t xml:space="preserve">three years and can be extended to </w:t>
      </w:r>
      <w:bookmarkStart w:id="782" w:name="xdx_908_ecustom--StatuteOfLimitationsExt"/>
      <w:bookmarkEnd w:id="782"/>
      <w:r>
        <w:rPr>
          <w:rFonts w:ascii="Times New Roman;Times;Serif" w:hAnsi="Times New Roman;Times;Serif"/>
          <w:b w:val="false"/>
          <w:i w:val="false"/>
          <w:caps w:val="false"/>
          <w:smallCaps w:val="false"/>
          <w:sz w:val="20"/>
        </w:rPr>
        <w:t>five years under special circumstances.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bookmarkStart w:id="783" w:name="xdx_80F_eus-gaap--StockholdersEquityNote"/>
      <w:bookmarkEnd w:id="783"/>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1880" w:type="dxa"/>
            <w:tcBorders/>
            <w:vAlign w:val="center"/>
          </w:tcPr>
          <w:p>
            <w:pPr>
              <w:pStyle w:val="TableContents"/>
              <w:bidi w:val="0"/>
              <w:spacing w:before="0" w:after="283"/>
              <w:jc w:val="both"/>
              <w:rPr>
                <w:rFonts w:ascii="Times New Roman;Times;Serif" w:hAnsi="Times New Roman;Times;Serif"/>
                <w:b/>
                <w:sz w:val="20"/>
              </w:rPr>
            </w:pPr>
            <w:bookmarkStart w:id="784" w:name="xdx_825_zl1XSXA0iDAk"/>
            <w:bookmarkEnd w:id="784"/>
            <w:r>
              <w:rPr>
                <w:rFonts w:ascii="Times New Roman;Times;Serif" w:hAnsi="Times New Roman;Times;Serif"/>
                <w:b/>
                <w:sz w:val="20"/>
              </w:rPr>
              <w:t>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adopts a dual-class ordinary share structure. Pursuant to the resolution of the shareholders of the Company on August 23, 2018, the Company’s authorized share capital became US$</w:t>
      </w:r>
      <w:bookmarkStart w:id="785" w:name="xdx_90C_eus-gaap--StockIssuedDuringPerio"/>
      <w:bookmarkEnd w:id="785"/>
      <w:r>
        <w:rPr>
          <w:rFonts w:ascii="Times New Roman;Times;Serif" w:hAnsi="Times New Roman;Times;Serif"/>
          <w:b w:val="false"/>
          <w:i w:val="false"/>
          <w:caps w:val="false"/>
          <w:smallCaps w:val="false"/>
          <w:sz w:val="20"/>
        </w:rPr>
        <w:t xml:space="preserve">50,000 divided into </w:t>
      </w:r>
      <w:bookmarkStart w:id="786" w:name="xdx_908_eus-gaap--StockIssuedDuringPerio"/>
      <w:bookmarkEnd w:id="786"/>
      <w:r>
        <w:rPr>
          <w:rFonts w:ascii="Times New Roman;Times;Serif" w:hAnsi="Times New Roman;Times;Serif"/>
          <w:b w:val="false"/>
          <w:i w:val="false"/>
          <w:caps w:val="false"/>
          <w:smallCaps w:val="false"/>
          <w:sz w:val="20"/>
        </w:rPr>
        <w:t xml:space="preserve">5,000,000,000 shares comprising of (i) </w:t>
      </w:r>
      <w:bookmarkStart w:id="787" w:name="xdx_90A_eus-gaap--CommonStockSharesAutho"/>
      <w:bookmarkEnd w:id="787"/>
      <w:r>
        <w:rPr>
          <w:rFonts w:ascii="Times New Roman;Times;Serif" w:hAnsi="Times New Roman;Times;Serif"/>
          <w:b w:val="false"/>
          <w:i w:val="false"/>
          <w:caps w:val="false"/>
          <w:smallCaps w:val="false"/>
          <w:sz w:val="20"/>
        </w:rPr>
        <w:t>4,800,000,000 class A ordinary shares of a par value of US$</w:t>
      </w:r>
      <w:bookmarkStart w:id="788" w:name="xdx_90C_eus-gaap--CommonStockParOrStated"/>
      <w:bookmarkEnd w:id="788"/>
      <w:r>
        <w:rPr>
          <w:rFonts w:ascii="Times New Roman;Times;Serif" w:hAnsi="Times New Roman;Times;Serif"/>
          <w:b w:val="false"/>
          <w:i w:val="false"/>
          <w:caps w:val="false"/>
          <w:smallCaps w:val="false"/>
          <w:sz w:val="20"/>
        </w:rPr>
        <w:t xml:space="preserve">0.00001 each (“Class A Ordinary Shares”), (ii) </w:t>
      </w:r>
      <w:bookmarkStart w:id="789" w:name="xdx_90C_eus-gaap--CommonStockSharesAutho"/>
      <w:bookmarkEnd w:id="789"/>
      <w:r>
        <w:rPr>
          <w:rFonts w:ascii="Times New Roman;Times;Serif" w:hAnsi="Times New Roman;Times;Serif"/>
          <w:b w:val="false"/>
          <w:i w:val="false"/>
          <w:caps w:val="false"/>
          <w:smallCaps w:val="false"/>
          <w:sz w:val="20"/>
        </w:rPr>
        <w:t>150,000,000 class B ordinary shares of a par value of US$</w:t>
      </w:r>
      <w:bookmarkStart w:id="790" w:name="xdx_90D_eus-gaap--CommonStockParOrStated"/>
      <w:bookmarkEnd w:id="790"/>
      <w:r>
        <w:rPr>
          <w:rFonts w:ascii="Times New Roman;Times;Serif" w:hAnsi="Times New Roman;Times;Serif"/>
          <w:b w:val="false"/>
          <w:i w:val="false"/>
          <w:caps w:val="false"/>
          <w:smallCaps w:val="false"/>
          <w:sz w:val="20"/>
        </w:rPr>
        <w:t xml:space="preserve">0.00001 each (“Class B Ordinary Shares”) and </w:t>
      </w:r>
      <w:bookmarkStart w:id="791" w:name="xdx_905_eus-gaap--CommonStockSharesAutho"/>
      <w:bookmarkEnd w:id="791"/>
      <w:r>
        <w:rPr>
          <w:rFonts w:ascii="Times New Roman;Times;Serif" w:hAnsi="Times New Roman;Times;Serif"/>
          <w:b w:val="false"/>
          <w:i w:val="false"/>
          <w:caps w:val="false"/>
          <w:smallCaps w:val="false"/>
          <w:sz w:val="20"/>
        </w:rPr>
        <w:t>50,000,000 shares of a par value of US$</w:t>
      </w:r>
      <w:bookmarkStart w:id="792" w:name="xdx_90E_eus-gaap--CommonStockParOrStated"/>
      <w:bookmarkEnd w:id="792"/>
      <w:r>
        <w:rPr>
          <w:rFonts w:ascii="Times New Roman;Times;Serif" w:hAnsi="Times New Roman;Times;Serif"/>
          <w:b w:val="false"/>
          <w:i w:val="false"/>
          <w:caps w:val="false"/>
          <w:smallCaps w:val="false"/>
          <w:sz w:val="20"/>
        </w:rPr>
        <w:t>0.00001 each of such class or classes (however designated) as the board of directors may determine in accordance with post-offering amended and restated memorandum and articles of association. In respect of all matters subject to a shareholder vote, each Class A ordinary share is entitled to one vote, and each Class B Ordinary Share is entitled to ten (10) votes, voting together as one class. Each Class B Ordinary Share is convertible into one Class A Ordinary Share at any time by the holder thereof. Class A Ordinary Shares are not convertible into Class B Ordinary Shares under any circumstances. Upon any transfer of Class B Ordinary Shares by a holder to any person or entity other than holders of Class B Ordinary Shares or their affiliates, such Class B Ordinary Shares shall be automatically and immediately converted into the equivalent number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completion of the IPO, </w:t>
      </w:r>
      <w:bookmarkStart w:id="793" w:name="xdx_908_eus-gaap--StockIssuedDuringPerio"/>
      <w:bookmarkEnd w:id="793"/>
      <w:r>
        <w:rPr>
          <w:rFonts w:ascii="Times New Roman;Times;Serif" w:hAnsi="Times New Roman;Times;Serif"/>
          <w:b w:val="false"/>
          <w:i w:val="false"/>
          <w:caps w:val="false"/>
          <w:smallCaps w:val="false"/>
          <w:sz w:val="20"/>
        </w:rPr>
        <w:t xml:space="preserve">16,145,454 issued Class A Ordinary Shares held by certain key management founders, </w:t>
      </w:r>
      <w:bookmarkStart w:id="794" w:name="xdx_90E_eus-gaap--StockIssuedDuringPerio"/>
      <w:bookmarkEnd w:id="794"/>
      <w:r>
        <w:rPr>
          <w:rFonts w:ascii="Times New Roman;Times;Serif" w:hAnsi="Times New Roman;Times;Serif"/>
          <w:b w:val="false"/>
          <w:i w:val="false"/>
          <w:caps w:val="false"/>
          <w:smallCaps w:val="false"/>
          <w:sz w:val="20"/>
        </w:rPr>
        <w:t xml:space="preserve">33,818,182 issued Pre-IPO Class B Ordinary Shares held by Red Better, and </w:t>
      </w:r>
      <w:bookmarkStart w:id="795" w:name="xdx_906_eus-gaap--StockIssuedDuringPerio"/>
      <w:bookmarkEnd w:id="795"/>
      <w:r>
        <w:rPr>
          <w:rFonts w:ascii="Times New Roman;Times;Serif" w:hAnsi="Times New Roman;Times;Serif"/>
          <w:b w:val="false"/>
          <w:i w:val="false"/>
          <w:caps w:val="false"/>
          <w:smallCaps w:val="false"/>
          <w:sz w:val="20"/>
        </w:rPr>
        <w:t xml:space="preserve">67,636,364 issued Pre-IPO Class B Ordinary Shares held by Mr. Chen’s wholly-owned entity Viomi Limited was automatically converted by way of re-designation and re-classification into Class B Ordinary Shares on a one-for-one basis, and the rest of the outstanding </w:t>
      </w:r>
      <w:bookmarkStart w:id="796" w:name="xdx_900_eus-gaap--CommonStockSharesOutst"/>
      <w:bookmarkEnd w:id="796"/>
      <w:r>
        <w:rPr>
          <w:rFonts w:ascii="Times New Roman;Times;Serif" w:hAnsi="Times New Roman;Times;Serif"/>
          <w:b w:val="false"/>
          <w:i w:val="false"/>
          <w:caps w:val="false"/>
          <w:smallCaps w:val="false"/>
          <w:sz w:val="20"/>
        </w:rPr>
        <w:t xml:space="preserve">4,000,000 Class A Ordinary Shares, the rest of the outstanding </w:t>
      </w:r>
      <w:bookmarkStart w:id="797" w:name="xdx_903_eus-gaap--StockIssuedDuringPerio"/>
      <w:bookmarkEnd w:id="797"/>
      <w:r>
        <w:rPr>
          <w:rFonts w:ascii="Times New Roman;Times;Serif" w:hAnsi="Times New Roman;Times;Serif"/>
          <w:b w:val="false"/>
          <w:i w:val="false"/>
          <w:caps w:val="false"/>
          <w:smallCaps w:val="false"/>
          <w:sz w:val="20"/>
        </w:rPr>
        <w:t xml:space="preserve">33,818,182 Pre-IPO Class B Ordinary Shares, and all outstanding </w:t>
      </w:r>
      <w:bookmarkStart w:id="798" w:name="xdx_904_eus-gaap--CommonStockSharesOutst"/>
      <w:bookmarkEnd w:id="798"/>
      <w:r>
        <w:rPr>
          <w:rFonts w:ascii="Times New Roman;Times;Serif" w:hAnsi="Times New Roman;Times;Serif"/>
          <w:b w:val="false"/>
          <w:i w:val="false"/>
          <w:caps w:val="false"/>
          <w:smallCaps w:val="false"/>
          <w:sz w:val="20"/>
        </w:rPr>
        <w:t xml:space="preserve">18,181,818 Series A Preferred Shares was automatically converted by way of re-designation and re-classification into Class A Ordinary Shares on a one-for-one basis. Upon the completion of the Company’s IPO in 2018, </w:t>
      </w:r>
      <w:bookmarkStart w:id="799" w:name="xdx_900_eus-gaap--StockIssuedDuringPerio"/>
      <w:bookmarkEnd w:id="799"/>
      <w:r>
        <w:rPr>
          <w:rFonts w:ascii="Times New Roman;Times;Serif" w:hAnsi="Times New Roman;Times;Serif"/>
          <w:b w:val="false"/>
          <w:i w:val="false"/>
          <w:caps w:val="false"/>
          <w:smallCaps w:val="false"/>
          <w:sz w:val="20"/>
        </w:rPr>
        <w:t xml:space="preserve">34,200,000 Class A Ordinary Shares were issued, and the Company had </w:t>
      </w:r>
      <w:bookmarkStart w:id="800" w:name="xdx_902_eus-gaap--SharesIssued_iI_pid_c2"/>
      <w:bookmarkEnd w:id="800"/>
      <w:r>
        <w:rPr>
          <w:rFonts w:ascii="Times New Roman;Times;Serif" w:hAnsi="Times New Roman;Times;Serif"/>
          <w:b w:val="false"/>
          <w:i w:val="false"/>
          <w:caps w:val="false"/>
          <w:smallCaps w:val="false"/>
          <w:sz w:val="20"/>
        </w:rPr>
        <w:t xml:space="preserve">90,200,000 Post-IPO Class A Ordinary Shares and </w:t>
      </w:r>
      <w:bookmarkStart w:id="801" w:name="xdx_901_eus-gaap--StockIssuedDuringPerio"/>
      <w:bookmarkEnd w:id="801"/>
      <w:r>
        <w:rPr>
          <w:rFonts w:ascii="Times New Roman;Times;Serif" w:hAnsi="Times New Roman;Times;Serif"/>
          <w:b w:val="false"/>
          <w:i w:val="false"/>
          <w:caps w:val="false"/>
          <w:smallCaps w:val="false"/>
          <w:sz w:val="20"/>
        </w:rPr>
        <w:t>117,600,000 Post-IPO Class B Ordinary Shares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bookmarkStart w:id="802" w:name="xdx_90D_eus-gaap--SharesOutstanding_iI_p"/>
      <w:bookmarkEnd w:id="802"/>
      <w:r>
        <w:rPr>
          <w:rFonts w:ascii="Times New Roman;Times;Serif" w:hAnsi="Times New Roman;Times;Serif"/>
          <w:b w:val="false"/>
          <w:i w:val="false"/>
          <w:caps w:val="false"/>
          <w:smallCaps w:val="false"/>
          <w:sz w:val="20"/>
        </w:rPr>
        <w:t xml:space="preserve">95,171,125 Class A Ordinary Shares and </w:t>
      </w:r>
      <w:bookmarkStart w:id="803" w:name="xdx_900_eus-gaap--SharesOutstanding_iI_p"/>
      <w:bookmarkEnd w:id="803"/>
      <w:r>
        <w:rPr>
          <w:rFonts w:ascii="Times New Roman;Times;Serif" w:hAnsi="Times New Roman;Times;Serif"/>
          <w:b w:val="false"/>
          <w:i w:val="false"/>
          <w:caps w:val="false"/>
          <w:smallCaps w:val="false"/>
          <w:sz w:val="20"/>
        </w:rPr>
        <w:t>102,674,548 Class B Ordinary Shares outstanding, respectively, following the share option exercises into Class A Ordinary Shares, conversions of Class B Ordinary Shares to Class A Ordinary Shares as well as the repurchase of Class A Ordinary Shares following the IPO during the previous years.</w:t>
      </w:r>
    </w:p>
    <w:p>
      <w:pPr>
        <w:pStyle w:val="TextBody"/>
        <w:bidi w:val="0"/>
        <w:spacing w:before="0" w:after="0"/>
        <w:ind w:left="0" w:right="0" w:hanging="0"/>
        <w:jc w:val="left"/>
        <w:rPr>
          <w:caps w:val="false"/>
          <w:smallCaps w:val="false"/>
        </w:rPr>
      </w:pPr>
      <w:bookmarkStart w:id="804" w:name="xdx_80A_eus-gaap--DisclosureOfCompensati"/>
      <w:bookmarkEnd w:id="804"/>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3035" w:type="dxa"/>
            <w:tcBorders/>
            <w:vAlign w:val="center"/>
          </w:tcPr>
          <w:p>
            <w:pPr>
              <w:pStyle w:val="TableContents"/>
              <w:bidi w:val="0"/>
              <w:spacing w:before="0" w:after="283"/>
              <w:jc w:val="both"/>
              <w:rPr>
                <w:rFonts w:ascii="Times New Roman;Times;Serif" w:hAnsi="Times New Roman;Times;Serif"/>
                <w:b/>
                <w:sz w:val="20"/>
              </w:rPr>
            </w:pPr>
            <w:bookmarkStart w:id="805" w:name="xdx_829_z4eguEic6d6b"/>
            <w:bookmarkEnd w:id="805"/>
            <w:r>
              <w:rPr>
                <w:rFonts w:ascii="Times New Roman;Times;Serif" w:hAnsi="Times New Roman;Times;Serif"/>
                <w:b/>
                <w:sz w:val="20"/>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06" w:name="xdx_898_eus-gaap--ScheduleOfCompensation"/>
      <w:bookmarkEnd w:id="806"/>
      <w:r>
        <w:rPr>
          <w:rFonts w:ascii="Times New Roman;Times;Serif" w:hAnsi="Times New Roman;Times;Serif"/>
          <w:b w:val="false"/>
          <w:i w:val="false"/>
          <w:caps w:val="false"/>
          <w:smallCaps w:val="false"/>
          <w:sz w:val="20"/>
        </w:rPr>
        <w:t>Compensation expense recognized for share-based awards was as follows:</w:t>
      </w:r>
    </w:p>
    <w:p>
      <w:pPr>
        <w:pStyle w:val="TextBody"/>
        <w:bidi w:val="0"/>
        <w:spacing w:before="0" w:after="0"/>
        <w:ind w:left="600" w:right="0" w:hanging="0"/>
        <w:jc w:val="left"/>
        <w:rPr>
          <w:caps w:val="false"/>
          <w:smallCaps w:val="false"/>
        </w:rPr>
      </w:pPr>
      <w:r>
        <w:rPr>
          <w:caps w:val="false"/>
          <w:smallCaps w:val="false"/>
        </w:rPr>
        <w:t> </w:t>
      </w:r>
      <w:bookmarkStart w:id="807" w:name="xdx_8BA_zUMYc7ITnZC2"/>
      <w:bookmarkEnd w:id="807"/>
      <w:r>
        <w:rPr>
          <w:rFonts w:ascii="Times New Roman;Times;Serif" w:hAnsi="Times New Roman;Times;Serif"/>
          <w:b w:val="false"/>
          <w:i w:val="false"/>
          <w:caps w:val="false"/>
          <w:smallCaps w:val="false"/>
          <w:sz w:val="20"/>
        </w:rPr>
        <w:t>SUMMARY OF COMPENSATION EXPENSE RECOGNIZED FOR SHARE-BASED AWARDS</w:t>
      </w:r>
    </w:p>
    <w:tbl>
      <w:tblPr>
        <w:tblW w:w="6365" w:type="dxa"/>
        <w:jc w:val="left"/>
        <w:tblInd w:w="0" w:type="dxa"/>
        <w:tblLayout w:type="fixed"/>
        <w:tblCellMar>
          <w:top w:w="0" w:type="dxa"/>
          <w:left w:w="0" w:type="dxa"/>
          <w:bottom w:w="0" w:type="dxa"/>
          <w:right w:w="0" w:type="dxa"/>
        </w:tblCellMar>
      </w:tblPr>
      <w:tblGrid>
        <w:gridCol w:w="3470"/>
        <w:gridCol w:w="60"/>
        <w:gridCol w:w="121"/>
        <w:gridCol w:w="1138"/>
        <w:gridCol w:w="121"/>
        <w:gridCol w:w="121"/>
        <w:gridCol w:w="121"/>
        <w:gridCol w:w="1138"/>
        <w:gridCol w:w="75"/>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08" w:name="xdx_491_20250101__20250630_zo2bBlWmyXZ1"/>
            <w:bookmarkEnd w:id="808"/>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bookmarkStart w:id="809" w:name="xdx_49F_20260101__20260630_zD4x34gu9dWf"/>
            <w:bookmarkEnd w:id="809"/>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10" w:name="xdx_405_eus-gaap--AllocatedShareBasedCom"/>
            <w:bookmarkEnd w:id="810"/>
          </w:p>
        </w:tc>
      </w:tr>
      <w:tr>
        <w:trPr/>
        <w:tc>
          <w:tcPr>
            <w:tcW w:w="3470" w:type="dxa"/>
            <w:tcBorders/>
            <w:shd w:fill="FFFFFF" w:val="clear"/>
            <w:vAlign w:val="center"/>
          </w:tcPr>
          <w:p>
            <w:pPr>
              <w:pStyle w:val="TableContents"/>
              <w:bidi w:val="0"/>
              <w:spacing w:before="0" w:after="283"/>
              <w:jc w:val="left"/>
              <w:rPr/>
            </w:pPr>
            <w:r>
              <w:rPr/>
              <w:t>—</w:t>
            </w:r>
            <w:r>
              <w:rPr>
                <w:rFonts w:ascii="Times New Roman;Times;Serif" w:hAnsi="Times New Roman;Times;Serif"/>
                <w:sz w:val="20"/>
              </w:rPr>
              <w:t>Share options</w:t>
            </w:r>
            <w:bookmarkStart w:id="811" w:name="xdx_F49_zsx6i8jgQW67"/>
            <w:bookmarkEnd w:id="811"/>
            <w:r>
              <w:rPr>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7,160</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600" w:right="0" w:hanging="0"/>
        <w:jc w:val="left"/>
        <w:rPr>
          <w:caps w:val="false"/>
          <w:smallCaps w:val="false"/>
        </w:rPr>
      </w:pPr>
      <w:bookmarkStart w:id="812" w:name="xdx_8A6_zdvY4kCRamNa"/>
      <w:bookmarkEnd w:id="812"/>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60"/>
        <w:gridCol w:w="117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813" w:name="xdx_F05_zADGHusmBpZb"/>
            <w:bookmarkEnd w:id="813"/>
            <w:r>
              <w:rPr>
                <w:rFonts w:ascii="Times New Roman;Times;Serif" w:hAnsi="Times New Roman;Times;Serif"/>
                <w:b/>
                <w:i/>
                <w:caps w:val="false"/>
                <w:smallCaps w:val="false"/>
                <w:sz w:val="20"/>
              </w:rPr>
              <w:t>(a)</w:t>
            </w:r>
          </w:p>
        </w:tc>
        <w:tc>
          <w:tcPr>
            <w:tcW w:w="117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814" w:name="xdx_F1C_zgYYsnWiHGXa"/>
            <w:bookmarkEnd w:id="814"/>
            <w:r>
              <w:rPr>
                <w:rFonts w:ascii="Times New Roman;Times;Serif" w:hAnsi="Times New Roman;Times;Serif"/>
                <w:b/>
                <w:i/>
                <w:caps w:val="false"/>
                <w:smallCaps w:val="false"/>
                <w:sz w:val="20"/>
              </w:rPr>
              <w:t>Share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17, 2015, the Board of Directors of the Company approved the establishment of 2015 Share Incentive Plan, the purpose of which is to provide an incentive for employees contributing to the Group. The 2015 Share Incentive Plan shall be valid and effective for 10 years from the grant date. The maximum number of shares that may be issued pursuant to all awards (including incentive share options) under 2015 Share Incentive Plan shall be </w:t>
      </w:r>
      <w:bookmarkStart w:id="815" w:name="xdx_902_eus-gaap--ShareBasedCompensation"/>
      <w:bookmarkEnd w:id="815"/>
      <w:r>
        <w:rPr>
          <w:rFonts w:ascii="Times New Roman;Times;Serif" w:hAnsi="Times New Roman;Times;Serif"/>
          <w:b w:val="false"/>
          <w:i w:val="false"/>
          <w:caps w:val="false"/>
          <w:smallCaps w:val="false"/>
          <w:sz w:val="20"/>
        </w:rPr>
        <w:t>12,727,272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2018, the Board of Directors and shareholders of the Company approved the 2018 Share Incentive Plan. As of Jun 30, 2026, the maximum of shares that may be issued under the 2018 Share Incentive Plan was </w:t>
      </w:r>
      <w:bookmarkStart w:id="816" w:name="xdx_907_eus-gaap--ShareBasedCompensation"/>
      <w:bookmarkEnd w:id="816"/>
      <w:r>
        <w:rPr>
          <w:rFonts w:ascii="Times New Roman;Times;Serif" w:hAnsi="Times New Roman;Times;Serif"/>
          <w:b w:val="false"/>
          <w:i w:val="false"/>
          <w:caps w:val="false"/>
          <w:smallCaps w:val="false"/>
          <w:sz w:val="20"/>
        </w:rPr>
        <w:t>34,186,675.</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the Company granted </w:t>
      </w:r>
      <w:bookmarkStart w:id="817" w:name="xdx_908_eus-gaap--ShareBasedCompensation"/>
      <w:bookmarkEnd w:id="817"/>
      <w:r>
        <w:rPr>
          <w:rFonts w:ascii="Times New Roman;Times;Serif" w:hAnsi="Times New Roman;Times;Serif"/>
          <w:b w:val="false"/>
          <w:i w:val="false"/>
          <w:caps w:val="false"/>
          <w:smallCaps w:val="false"/>
          <w:sz w:val="20"/>
        </w:rPr>
        <w:t xml:space="preserve">780,000 share options to employees pursuant to the 2018 Share Incentive Plan. Among which, with respect to the share options granted, </w:t>
      </w:r>
      <w:bookmarkStart w:id="818" w:name="xdx_902_eus-gaap--SharebasedCompensation"/>
      <w:bookmarkEnd w:id="818"/>
      <w:r>
        <w:rPr>
          <w:rFonts w:ascii="Times New Roman;Times;Serif" w:hAnsi="Times New Roman;Times;Serif"/>
          <w:b w:val="false"/>
          <w:i w:val="false"/>
          <w:caps w:val="false"/>
          <w:smallCaps w:val="false"/>
          <w:sz w:val="20"/>
        </w:rPr>
        <w:t xml:space="preserve">40% of the options will be vested after 24 months of the vesting commencement date and the remaining </w:t>
      </w:r>
      <w:bookmarkStart w:id="819" w:name="xdx_900_eus-gaap--SharebasedCompensation"/>
      <w:bookmarkEnd w:id="819"/>
      <w:r>
        <w:rPr>
          <w:rFonts w:ascii="Times New Roman;Times;Serif" w:hAnsi="Times New Roman;Times;Serif"/>
          <w:b w:val="false"/>
          <w:i w:val="false"/>
          <w:caps w:val="false"/>
          <w:smallCaps w:val="false"/>
          <w:sz w:val="20"/>
        </w:rPr>
        <w:t>60% will be vested in three equal installments over the following 36 months.</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 Company granted </w:t>
      </w:r>
      <w:bookmarkStart w:id="820" w:name="xdx_90E_eus-gaap--ShareBasedCompensation"/>
      <w:bookmarkEnd w:id="820"/>
      <w:r>
        <w:rPr>
          <w:rFonts w:ascii="Times New Roman;Times;Serif" w:hAnsi="Times New Roman;Times;Serif"/>
          <w:b w:val="false"/>
          <w:i w:val="false"/>
          <w:caps w:val="false"/>
          <w:smallCaps w:val="false"/>
          <w:sz w:val="20"/>
        </w:rPr>
        <w:t xml:space="preserve">1,210,000 share options to employees pursuant to the 2018 Share Incentive Plan. Among which, with respect to the share options granted, </w:t>
      </w:r>
      <w:bookmarkStart w:id="821" w:name="xdx_906_eus-gaap--SharebasedCompensation"/>
      <w:bookmarkEnd w:id="821"/>
      <w:r>
        <w:rPr>
          <w:rFonts w:ascii="Times New Roman;Times;Serif" w:hAnsi="Times New Roman;Times;Serif"/>
          <w:b w:val="false"/>
          <w:i w:val="false"/>
          <w:caps w:val="false"/>
          <w:smallCaps w:val="false"/>
          <w:sz w:val="20"/>
        </w:rPr>
        <w:t xml:space="preserve">40% of the options will be vested after 24 months of the vesting commencement date and the remaining </w:t>
      </w:r>
      <w:bookmarkStart w:id="822" w:name="xdx_909_eus-gaap--SharebasedCompensation"/>
      <w:bookmarkEnd w:id="822"/>
      <w:r>
        <w:rPr>
          <w:rFonts w:ascii="Times New Roman;Times;Serif" w:hAnsi="Times New Roman;Times;Serif"/>
          <w:b w:val="false"/>
          <w:i w:val="false"/>
          <w:caps w:val="false"/>
          <w:smallCaps w:val="false"/>
          <w:sz w:val="20"/>
        </w:rPr>
        <w:t>60% will be vested in three equal installments over the following 36 months.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90"/>
        <w:gridCol w:w="407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40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SHARE-BASED COMPENSATION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23" w:name="xdx_89C_eus-gaap--ScheduleOfShareBasedCo"/>
      <w:bookmarkEnd w:id="823"/>
      <w:r>
        <w:rPr>
          <w:rFonts w:ascii="Times New Roman;Times;Serif" w:hAnsi="Times New Roman;Times;Serif"/>
          <w:b w:val="false"/>
          <w:i w:val="false"/>
          <w:caps w:val="false"/>
          <w:smallCaps w:val="false"/>
          <w:sz w:val="20"/>
        </w:rPr>
        <w:t>A summary of the stock option activity under the 2015 Share Incentive Plan and 2018 Share Incentive Plan for the six months ended June 30, 2025 and 2026 is included in the table below.</w:t>
      </w:r>
    </w:p>
    <w:p>
      <w:pPr>
        <w:pStyle w:val="TextBody"/>
        <w:bidi w:val="0"/>
        <w:spacing w:before="0" w:after="0"/>
        <w:ind w:left="600" w:right="0" w:hanging="0"/>
        <w:jc w:val="left"/>
        <w:rPr>
          <w:caps w:val="false"/>
          <w:smallCaps w:val="false"/>
        </w:rPr>
      </w:pPr>
      <w:r>
        <w:rPr>
          <w:caps w:val="false"/>
          <w:smallCaps w:val="false"/>
        </w:rPr>
        <w:t> </w:t>
      </w:r>
      <w:bookmarkStart w:id="824" w:name="xdx_8B3_z1fc85ku9v2i"/>
      <w:bookmarkEnd w:id="824"/>
      <w:r>
        <w:rPr>
          <w:rFonts w:ascii="Times New Roman;Times;Serif" w:hAnsi="Times New Roman;Times;Serif"/>
          <w:b w:val="false"/>
          <w:i w:val="false"/>
          <w:caps w:val="false"/>
          <w:smallCaps w:val="false"/>
          <w:sz w:val="20"/>
        </w:rPr>
        <w:t>SUMMARY OF STOCK OPTION ACTIVITY</w:t>
      </w:r>
    </w:p>
    <w:tbl>
      <w:tblPr>
        <w:tblW w:w="9313" w:type="dxa"/>
        <w:jc w:val="left"/>
        <w:tblInd w:w="0" w:type="dxa"/>
        <w:tblLayout w:type="fixed"/>
        <w:tblCellMar>
          <w:top w:w="0" w:type="dxa"/>
          <w:left w:w="0" w:type="dxa"/>
          <w:bottom w:w="0" w:type="dxa"/>
          <w:right w:w="0" w:type="dxa"/>
        </w:tblCellMar>
      </w:tblPr>
      <w:tblGrid>
        <w:gridCol w:w="3665"/>
        <w:gridCol w:w="60"/>
        <w:gridCol w:w="99"/>
        <w:gridCol w:w="1825"/>
        <w:gridCol w:w="95"/>
        <w:gridCol w:w="60"/>
        <w:gridCol w:w="119"/>
        <w:gridCol w:w="876"/>
        <w:gridCol w:w="60"/>
        <w:gridCol w:w="60"/>
        <w:gridCol w:w="96"/>
        <w:gridCol w:w="899"/>
        <w:gridCol w:w="60"/>
        <w:gridCol w:w="60"/>
        <w:gridCol w:w="96"/>
        <w:gridCol w:w="1108"/>
        <w:gridCol w:w="7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pPr>
            <w:r>
              <w:rPr/>
              <w:t> </w:t>
            </w:r>
            <w:r>
              <w:rPr>
                <w:rFonts w:ascii="Times New Roman;Times;Serif" w:hAnsi="Times New Roman;Times;Serif"/>
                <w:b/>
                <w:sz w:val="20"/>
              </w:rPr>
              <w:t>exercise</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life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Aggregate</w:t>
            </w:r>
          </w:p>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 (US$)</w:t>
            </w:r>
          </w:p>
        </w:tc>
        <w:tc>
          <w:tcPr>
            <w:tcW w:w="75" w:type="dxa"/>
            <w:tcBorders/>
            <w:vAlign w:val="center"/>
          </w:tcPr>
          <w:p>
            <w:pPr>
              <w:pStyle w:val="TableContents"/>
              <w:bidi w:val="0"/>
              <w:spacing w:before="0" w:after="283"/>
              <w:jc w:val="center"/>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825" w:name="xdx_985_eus-gaap--ShareBasedCompensation"/>
            <w:bookmarkEnd w:id="825"/>
          </w:p>
        </w:tc>
        <w:tc>
          <w:tcPr>
            <w:tcW w:w="18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24,440,836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826" w:name="xdx_983_eus-gaap--ShareBasedCompensation"/>
            <w:bookmarkEnd w:id="826"/>
          </w:p>
        </w:tc>
        <w:tc>
          <w:tcPr>
            <w:tcW w:w="87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rPr>
            </w:pPr>
            <w:bookmarkStart w:id="827" w:name="xdx_90D_eus-gaap--SharebasedCompensation"/>
            <w:bookmarkEnd w:id="827"/>
            <w:r>
              <w:rPr>
                <w:rFonts w:ascii="Times New Roman;Times;Serif" w:hAnsi="Times New Roman;Times;Serif"/>
                <w:b/>
              </w:rPr>
              <w:t>11.43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828" w:name="xdx_980_eus-gaap--ShareBasedCompensation"/>
            <w:bookmarkEnd w:id="828"/>
          </w:p>
        </w:tc>
        <w:tc>
          <w:tcPr>
            <w:tcW w:w="110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19,794</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829" w:name="xdx_98B_eus-gaap--ShareBasedCompensation"/>
            <w:bookmarkEnd w:id="829"/>
          </w:p>
        </w:tc>
        <w:tc>
          <w:tcPr>
            <w:tcW w:w="18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bookmarkStart w:id="830" w:name="xdx_983_eus-gaap--ShareBasedCompensation"/>
            <w:bookmarkEnd w:id="830"/>
          </w:p>
        </w:tc>
        <w:tc>
          <w:tcPr>
            <w:tcW w:w="8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831" w:name="xdx_98A_eus-gaap--ShareBasedCompensation"/>
            <w:bookmarkEnd w:id="831"/>
          </w:p>
        </w:tc>
        <w:tc>
          <w:tcPr>
            <w:tcW w:w="18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(1,671,573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832" w:name="xdx_98E_eus-gaap--ShareBasedCompensation"/>
            <w:bookmarkEnd w:id="832"/>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3" w:name="xdx_98B_eus-gaap--StockIssuedDuringPerio"/>
            <w:bookmarkEnd w:id="833"/>
          </w:p>
        </w:tc>
        <w:tc>
          <w:tcPr>
            <w:tcW w:w="18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4" w:name="xdx_98B_eus-gaap--ShareBasedCompensation"/>
            <w:bookmarkEnd w:id="834"/>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at June 30, 2025</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35" w:name="xdx_98D_eus-gaap--ShareBasedCompensation"/>
            <w:bookmarkEnd w:id="835"/>
          </w:p>
        </w:tc>
        <w:tc>
          <w:tcPr>
            <w:tcW w:w="18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23,503,837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36" w:name="xdx_98B_eus-gaap--ShareBasedCompensation"/>
            <w:bookmarkEnd w:id="836"/>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837" w:name="xdx_90C_eus-gaap--SharebasedCompensation"/>
            <w:bookmarkEnd w:id="837"/>
            <w:r>
              <w:rPr>
                <w:rFonts w:ascii="Times New Roman;Times;Serif" w:hAnsi="Times New Roman;Times;Serif"/>
                <w:b/>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38" w:name="xdx_983_eus-gaap--ShareBasedCompensation"/>
            <w:bookmarkEnd w:id="838"/>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19,475</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839" w:name="xdx_982_eus-gaap--ShareBasedCompensation"/>
            <w:bookmarkEnd w:id="839"/>
          </w:p>
        </w:tc>
        <w:tc>
          <w:tcPr>
            <w:tcW w:w="18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25,036,905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840" w:name="xdx_980_eus-gaap--ShareBasedCompensation"/>
            <w:bookmarkEnd w:id="840"/>
          </w:p>
        </w:tc>
        <w:tc>
          <w:tcPr>
            <w:tcW w:w="87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rPr>
            </w:pPr>
            <w:bookmarkStart w:id="841" w:name="xdx_904_eus-gaap--SharebasedCompensation"/>
            <w:bookmarkEnd w:id="841"/>
            <w:r>
              <w:rPr>
                <w:rFonts w:ascii="Times New Roman;Times;Serif" w:hAnsi="Times New Roman;Times;Serif"/>
                <w:b/>
              </w:rPr>
              <w:t>11.73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842" w:name="xdx_982_eus-gaap--ShareBasedCompensation"/>
            <w:bookmarkEnd w:id="842"/>
          </w:p>
        </w:tc>
        <w:tc>
          <w:tcPr>
            <w:tcW w:w="110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21,353</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843" w:name="xdx_987_eus-gaap--ShareBasedCompensation"/>
            <w:bookmarkEnd w:id="843"/>
          </w:p>
        </w:tc>
        <w:tc>
          <w:tcPr>
            <w:tcW w:w="18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bookmarkStart w:id="844" w:name="xdx_988_eus-gaap--ShareBasedCompensation"/>
            <w:bookmarkEnd w:id="844"/>
          </w:p>
        </w:tc>
        <w:tc>
          <w:tcPr>
            <w:tcW w:w="8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845" w:name="xdx_98B_eus-gaap--ShareBasedCompensation"/>
            <w:bookmarkEnd w:id="845"/>
          </w:p>
        </w:tc>
        <w:tc>
          <w:tcPr>
            <w:tcW w:w="18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(3,328,587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846" w:name="xdx_98B_eus-gaap--ShareBasedCompensation"/>
            <w:bookmarkEnd w:id="846"/>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7" w:name="xdx_983_eus-gaap--StockIssuedDuringPerio"/>
            <w:bookmarkEnd w:id="847"/>
          </w:p>
        </w:tc>
        <w:tc>
          <w:tcPr>
            <w:tcW w:w="18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8" w:name="xdx_984_eus-gaap--ShareBasedCompensation"/>
            <w:bookmarkEnd w:id="848"/>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at June 30, 2026</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9" w:name="xdx_98D_eus-gaap--ShareBasedCompensation"/>
            <w:bookmarkEnd w:id="849"/>
          </w:p>
        </w:tc>
        <w:tc>
          <w:tcPr>
            <w:tcW w:w="18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22,835,320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0" w:name="xdx_98C_eus-gaap--ShareBasedCompensation"/>
            <w:bookmarkEnd w:id="850"/>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851" w:name="xdx_900_eus-gaap--SharebasedCompensation"/>
            <w:bookmarkEnd w:id="851"/>
            <w:r>
              <w:rPr>
                <w:rFonts w:ascii="Times New Roman;Times;Serif" w:hAnsi="Times New Roman;Times;Serif"/>
                <w:b/>
              </w:rPr>
              <w:t>11.03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2" w:name="xdx_984_eus-gaap--ShareBasedCompensation"/>
            <w:bookmarkEnd w:id="852"/>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18,770</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Exercisable as of June 30, 2026</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853" w:name="xdx_983_eus-gaap--ShareBasedCompensation"/>
            <w:bookmarkEnd w:id="853"/>
          </w:p>
        </w:tc>
        <w:tc>
          <w:tcPr>
            <w:tcW w:w="182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11,179,334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bookmarkStart w:id="854" w:name="xdx_98F_eus-gaap--ShareBasedCompensation"/>
            <w:bookmarkEnd w:id="854"/>
          </w:p>
        </w:tc>
        <w:tc>
          <w:tcPr>
            <w:tcW w:w="87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rPr>
            </w:pPr>
            <w:bookmarkStart w:id="855" w:name="xdx_90A_eus-gaap--SharebasedCompensation"/>
            <w:bookmarkEnd w:id="855"/>
            <w:r>
              <w:rPr>
                <w:rFonts w:ascii="Times New Roman;Times;Serif" w:hAnsi="Times New Roman;Times;Serif"/>
                <w:b/>
              </w:rPr>
              <w:t>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856" w:name="xdx_98D_eus-gaap--SharebasedCompensation"/>
            <w:bookmarkEnd w:id="856"/>
          </w:p>
        </w:tc>
        <w:tc>
          <w:tcPr>
            <w:tcW w:w="110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12,720</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Expected to vest as of June 30, 2026</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857" w:name="xdx_98E_eus-gaap--ShareBasedCompensation"/>
            <w:bookmarkEnd w:id="857"/>
          </w:p>
        </w:tc>
        <w:tc>
          <w:tcPr>
            <w:tcW w:w="18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13,486,116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858" w:name="xdx_98B_eus-gaap--ShareBasedCompensation"/>
            <w:bookmarkEnd w:id="858"/>
          </w:p>
        </w:tc>
        <w:tc>
          <w:tcPr>
            <w:tcW w:w="87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rPr>
            </w:pPr>
            <w:bookmarkStart w:id="859" w:name="xdx_906_eus-gaap--SharebasedCompensation"/>
            <w:bookmarkEnd w:id="859"/>
            <w:r>
              <w:rPr>
                <w:rFonts w:ascii="Times New Roman;Times;Serif" w:hAnsi="Times New Roman;Times;Serif"/>
                <w:b/>
              </w:rPr>
              <w:t>17.97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860" w:name="xdx_98F_eus-gaap--ShareBasedCompensation"/>
            <w:bookmarkEnd w:id="860"/>
          </w:p>
        </w:tc>
        <w:tc>
          <w:tcPr>
            <w:tcW w:w="110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61" w:name="xdx_8A1_zxOpKKV6Fn3a"/>
      <w:bookmarkEnd w:id="86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options granted for the six months ended June 30, 2025 and 2026 was RMB</w:t>
      </w:r>
      <w:bookmarkStart w:id="862" w:name="xdx_90E_eus-gaap--ShareBasedCompensation"/>
      <w:bookmarkEnd w:id="862"/>
      <w:r>
        <w:rPr>
          <w:rFonts w:ascii="Times New Roman;Times;Serif" w:hAnsi="Times New Roman;Times;Serif"/>
          <w:b w:val="false"/>
          <w:i w:val="false"/>
          <w:caps w:val="false"/>
          <w:smallCaps w:val="false"/>
          <w:sz w:val="20"/>
        </w:rPr>
        <w:t>3.08 (US$</w:t>
      </w:r>
      <w:bookmarkStart w:id="863" w:name="xdx_90A_eus-gaap--ShareBasedCompensation"/>
      <w:bookmarkEnd w:id="863"/>
      <w:r>
        <w:rPr>
          <w:rFonts w:ascii="Times New Roman;Times;Serif" w:hAnsi="Times New Roman;Times;Serif"/>
          <w:b w:val="false"/>
          <w:i w:val="false"/>
          <w:caps w:val="false"/>
          <w:smallCaps w:val="false"/>
          <w:sz w:val="20"/>
        </w:rPr>
        <w:t>0.45) per option and RMB</w:t>
      </w:r>
      <w:bookmarkStart w:id="864" w:name="xdx_905_eus-gaap--ShareBasedCompensation"/>
      <w:bookmarkEnd w:id="864"/>
      <w:r>
        <w:rPr>
          <w:rFonts w:ascii="Times New Roman;Times;Serif" w:hAnsi="Times New Roman;Times;Serif"/>
          <w:b w:val="false"/>
          <w:i w:val="false"/>
          <w:caps w:val="false"/>
          <w:smallCaps w:val="false"/>
          <w:sz w:val="20"/>
        </w:rPr>
        <w:t>6.96 (US$</w:t>
      </w:r>
      <w:bookmarkStart w:id="865" w:name="xdx_90B_eus-gaap--ShareBasedCompensation"/>
      <w:bookmarkEnd w:id="865"/>
      <w:r>
        <w:rPr>
          <w:rFonts w:ascii="Times New Roman;Times;Serif" w:hAnsi="Times New Roman;Times;Serif"/>
          <w:b w:val="false"/>
          <w:i w:val="false"/>
          <w:caps w:val="false"/>
          <w:smallCaps w:val="false"/>
          <w:sz w:val="20"/>
        </w:rPr>
        <w:t>1.01) per option,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there was RMB</w:t>
      </w:r>
      <w:bookmarkStart w:id="866" w:name="xdx_90E_eus-gaap--EmployeeServiceShareBa"/>
      <w:bookmarkEnd w:id="866"/>
      <w:r>
        <w:rPr>
          <w:rFonts w:ascii="Times New Roman;Times;Serif" w:hAnsi="Times New Roman;Times;Serif"/>
          <w:b w:val="false"/>
          <w:i w:val="false"/>
          <w:caps w:val="false"/>
          <w:smallCaps w:val="false"/>
          <w:sz w:val="20"/>
        </w:rPr>
        <w:t>40,415 and RMB RMB</w:t>
      </w:r>
      <w:bookmarkStart w:id="867" w:name="xdx_909_eus-gaap--EmployeeServiceShareBa"/>
      <w:bookmarkEnd w:id="867"/>
      <w:r>
        <w:rPr>
          <w:rFonts w:ascii="Times New Roman;Times;Serif" w:hAnsi="Times New Roman;Times;Serif"/>
          <w:b w:val="false"/>
          <w:i w:val="false"/>
          <w:caps w:val="false"/>
          <w:smallCaps w:val="false"/>
          <w:sz w:val="20"/>
        </w:rPr>
        <w:t>24,023 (US$</w:t>
      </w:r>
      <w:bookmarkStart w:id="868" w:name="xdx_90D_eus-gaap--EmployeeServiceShareBa"/>
      <w:bookmarkEnd w:id="868"/>
      <w:r>
        <w:rPr>
          <w:rFonts w:ascii="Times New Roman;Times;Serif" w:hAnsi="Times New Roman;Times;Serif"/>
          <w:b w:val="false"/>
          <w:i w:val="false"/>
          <w:caps w:val="false"/>
          <w:smallCaps w:val="false"/>
          <w:sz w:val="20"/>
        </w:rPr>
        <w:t>3,485) of unrecognized compensation expenses related to the options, respectively.</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60"/>
        <w:gridCol w:w="261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261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shares to an investee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established Guangdong Lizi in July 2018 as a subsidiary of the Company. In November 2020, following the Group’s restructuring plan on its water purifiers business, the Group entered into an agreement with Sunglow to sell </w:t>
      </w:r>
      <w:bookmarkStart w:id="869" w:name="xdx_90B_eus-gaap--EquityMethodInvestment"/>
      <w:bookmarkEnd w:id="869"/>
      <w:r>
        <w:rPr>
          <w:rFonts w:ascii="Times New Roman;Times;Serif" w:hAnsi="Times New Roman;Times;Serif"/>
          <w:b w:val="false"/>
          <w:i w:val="false"/>
          <w:caps w:val="false"/>
          <w:smallCaps w:val="false"/>
          <w:sz w:val="20"/>
        </w:rPr>
        <w:t>1% of equity interest of Guangdong Lizi for a consideration of RMB</w:t>
      </w:r>
      <w:bookmarkStart w:id="870" w:name="xdx_903_eus-gaap--EquityMethodInvestment"/>
      <w:bookmarkEnd w:id="870"/>
      <w:r>
        <w:rPr>
          <w:rFonts w:ascii="Times New Roman;Times;Serif" w:hAnsi="Times New Roman;Times;Serif"/>
          <w:b w:val="false"/>
          <w:i w:val="false"/>
          <w:caps w:val="false"/>
          <w:smallCaps w:val="false"/>
          <w:sz w:val="20"/>
        </w:rPr>
        <w:t>175. Sunglow has paid up the consideration in December 2021 but is not entitled to any shareholder’s rights of Guangdong Lizi until the fulfilment of certain conditions pursuant to the supplemental agreement in November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requirement of ASC 718, the Group should recognize share-based compensation if there is a difference between the fair value of Guangdong Lizi’s </w:t>
      </w:r>
      <w:bookmarkStart w:id="871" w:name="xdx_902_eus-gaap--EquityMethodInvestment"/>
      <w:bookmarkEnd w:id="871"/>
      <w:r>
        <w:rPr>
          <w:rFonts w:ascii="Times New Roman;Times;Serif" w:hAnsi="Times New Roman;Times;Serif"/>
          <w:b w:val="false"/>
          <w:i w:val="false"/>
          <w:caps w:val="false"/>
          <w:smallCaps w:val="false"/>
          <w:sz w:val="20"/>
        </w:rPr>
        <w:t>1% of equity interest and the consideration paid up by Sunglow on the date of capital injection. The Group calculated the estimated fair value of the options on the respective grant dates using the discounted cash flow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Sunglow exited the arrangement. Accordingly, there were no more unrecognized compensation expenses associated with restricted shares granted to Sunglow to be recognized in future periods.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bookmarkStart w:id="872" w:name="xdx_800_eus-gaap--EarningsPerShareTextBl"/>
      <w:bookmarkEnd w:id="872"/>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90"/>
        <w:gridCol w:w="309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3095" w:type="dxa"/>
            <w:tcBorders/>
            <w:vAlign w:val="center"/>
          </w:tcPr>
          <w:p>
            <w:pPr>
              <w:pStyle w:val="TableContents"/>
              <w:bidi w:val="0"/>
              <w:spacing w:before="0" w:after="283"/>
              <w:jc w:val="both"/>
              <w:rPr>
                <w:rFonts w:ascii="Times New Roman;Times;Serif" w:hAnsi="Times New Roman;Times;Serif"/>
                <w:b/>
                <w:sz w:val="20"/>
              </w:rPr>
            </w:pPr>
            <w:bookmarkStart w:id="873" w:name="xdx_82B_ztJUQhcqowg4"/>
            <w:bookmarkEnd w:id="873"/>
            <w:r>
              <w:rPr>
                <w:rFonts w:ascii="Times New Roman;Times;Serif" w:hAnsi="Times New Roman;Times;Serif"/>
                <w:b/>
                <w:sz w:val="20"/>
              </w:rPr>
              <w:t>NET INCOME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74" w:name="xdx_892_eus-gaap--ScheduleOfEarningsPerS"/>
      <w:bookmarkEnd w:id="874"/>
      <w:r>
        <w:rPr>
          <w:rFonts w:ascii="Times New Roman;Times;Serif" w:hAnsi="Times New Roman;Times;Serif"/>
          <w:b w:val="false"/>
          <w:i w:val="false"/>
          <w:caps w:val="false"/>
          <w:smallCaps w:val="false"/>
          <w:sz w:val="20"/>
        </w:rPr>
        <w:t>Basic net income (loss) per share is the amount of net income (loss) available to each share of ordinary shares outstanding during the reporting period. Diluted net income (loss) per share is the amount of net income (loss) available to each share of ordinary shares outstanding during the reporting period adjusted to include the effect of potentially dilutive ordinary shares.</w:t>
      </w:r>
    </w:p>
    <w:p>
      <w:pPr>
        <w:pStyle w:val="TextBody"/>
        <w:bidi w:val="0"/>
        <w:spacing w:before="0" w:after="0"/>
        <w:ind w:left="600" w:right="0" w:hanging="0"/>
        <w:jc w:val="left"/>
        <w:rPr>
          <w:caps w:val="false"/>
          <w:smallCaps w:val="false"/>
        </w:rPr>
      </w:pPr>
      <w:r>
        <w:rPr>
          <w:caps w:val="false"/>
          <w:smallCaps w:val="false"/>
        </w:rPr>
        <w:t> </w:t>
      </w:r>
      <w:bookmarkStart w:id="875" w:name="xdx_8BE_zyJiYw4Zgrb8"/>
      <w:bookmarkEnd w:id="875"/>
      <w:r>
        <w:rPr>
          <w:rFonts w:ascii="Times New Roman;Times;Serif" w:hAnsi="Times New Roman;Times;Serif"/>
          <w:b w:val="false"/>
          <w:i w:val="false"/>
          <w:caps w:val="false"/>
          <w:smallCaps w:val="false"/>
          <w:sz w:val="20"/>
        </w:rPr>
        <w:t>SUMMARY OF NET INCOME PER SHARE, BASIC AND DILUTED</w:t>
      </w:r>
    </w:p>
    <w:tbl>
      <w:tblPr>
        <w:tblW w:w="10205" w:type="dxa"/>
        <w:jc w:val="left"/>
        <w:tblInd w:w="0" w:type="dxa"/>
        <w:tblLayout w:type="fixed"/>
        <w:tblCellMar>
          <w:top w:w="0" w:type="dxa"/>
          <w:left w:w="0" w:type="dxa"/>
          <w:bottom w:w="0" w:type="dxa"/>
          <w:right w:w="0" w:type="dxa"/>
        </w:tblCellMar>
      </w:tblPr>
      <w:tblGrid>
        <w:gridCol w:w="7293"/>
        <w:gridCol w:w="60"/>
        <w:gridCol w:w="60"/>
        <w:gridCol w:w="1249"/>
        <w:gridCol w:w="60"/>
        <w:gridCol w:w="60"/>
        <w:gridCol w:w="60"/>
        <w:gridCol w:w="1249"/>
        <w:gridCol w:w="114"/>
      </w:tblGrid>
      <w:tr>
        <w:trPr/>
        <w:tc>
          <w:tcPr>
            <w:tcW w:w="72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76" w:name="xdx_493_20250101__20250630_zp7zCUkItcC6"/>
            <w:bookmarkEnd w:id="876"/>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77" w:name="xdx_496_20260101__20260630_z7dl4yANKYVh"/>
            <w:bookmarkEnd w:id="877"/>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r>
      <w:tr>
        <w:trPr/>
        <w:tc>
          <w:tcPr>
            <w:tcW w:w="7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4" w:type="dxa"/>
            <w:tcBorders/>
            <w:vAlign w:val="center"/>
          </w:tcPr>
          <w:p>
            <w:pPr>
              <w:pStyle w:val="TableContents"/>
              <w:bidi w:val="0"/>
              <w:spacing w:before="0" w:after="283"/>
              <w:jc w:val="left"/>
              <w:rPr/>
            </w:pPr>
            <w:r>
              <w:rPr/>
              <w:t> </w:t>
            </w:r>
          </w:p>
        </w:tc>
      </w:tr>
      <w:tr>
        <w:trPr/>
        <w:tc>
          <w:tcPr>
            <w:tcW w:w="72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r>
      <w:tr>
        <w:trPr/>
        <w:tc>
          <w:tcPr>
            <w:tcW w:w="72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4" w:type="dxa"/>
            <w:tcBorders/>
            <w:vAlign w:val="center"/>
          </w:tcPr>
          <w:p>
            <w:pPr>
              <w:pStyle w:val="TableContents"/>
              <w:bidi w:val="0"/>
              <w:spacing w:before="0" w:after="283"/>
              <w:jc w:val="left"/>
              <w:rPr/>
            </w:pPr>
            <w:r>
              <w:rPr/>
              <w:t> </w:t>
            </w:r>
          </w:p>
        </w:tc>
      </w:tr>
      <w:tr>
        <w:trPr/>
        <w:tc>
          <w:tcPr>
            <w:tcW w:w="72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4" w:type="dxa"/>
            <w:tcBorders/>
            <w:vAlign w:val="center"/>
          </w:tcPr>
          <w:p>
            <w:pPr>
              <w:pStyle w:val="TableContents"/>
              <w:bidi w:val="0"/>
              <w:spacing w:before="0" w:after="283"/>
              <w:jc w:val="left"/>
              <w:rPr/>
            </w:pPr>
            <w:r>
              <w:rPr/>
              <w:t> </w:t>
            </w:r>
          </w:p>
        </w:tc>
      </w:tr>
      <w:tr>
        <w:trPr/>
        <w:tc>
          <w:tcPr>
            <w:tcW w:w="72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309"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9" w:type="dxa"/>
            <w:gridSpan w:val="2"/>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78" w:name="xdx_40A_eus-gaap--IncomeLossFromContinui"/>
            <w:bookmarkEnd w:id="878"/>
          </w:p>
        </w:tc>
      </w:tr>
      <w:tr>
        <w:trPr/>
        <w:tc>
          <w:tcPr>
            <w:tcW w:w="729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 for basic calculation-Net income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(26,286</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29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79" w:name="xdx_405_eus-gaap--WeightedAverageNumberO"/>
            <w:bookmarkEnd w:id="879"/>
          </w:p>
        </w:tc>
      </w:tr>
      <w:tr>
        <w:trPr/>
        <w:tc>
          <w:tcPr>
            <w:tcW w:w="72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 for basic calculation-weighted average ordinary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203,856,436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201,065,185</w:t>
            </w:r>
          </w:p>
        </w:tc>
        <w:tc>
          <w:tcPr>
            <w:tcW w:w="114" w:type="dxa"/>
            <w:tcBorders/>
            <w:shd w:fill="CCEEFF" w:val="clear"/>
            <w:vAlign w:val="center"/>
          </w:tcPr>
          <w:p>
            <w:pPr>
              <w:pStyle w:val="TableContents"/>
              <w:bidi w:val="0"/>
              <w:spacing w:before="0" w:after="283"/>
              <w:jc w:val="left"/>
              <w:rPr/>
            </w:pPr>
            <w:r>
              <w:rPr/>
              <w:t> </w:t>
            </w:r>
            <w:bookmarkStart w:id="880" w:name="xdx_40B_ecustom--DilutiveEffectOfShareOp"/>
            <w:bookmarkEnd w:id="880"/>
          </w:p>
        </w:tc>
      </w:tr>
      <w:tr>
        <w:trPr/>
        <w:tc>
          <w:tcPr>
            <w:tcW w:w="72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Dilutive effect of share 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2,008,657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881" w:name="xdx_409_eus-gaap--WeightedAverageNumberO"/>
            <w:bookmarkEnd w:id="881"/>
          </w:p>
        </w:tc>
      </w:tr>
      <w:tr>
        <w:trPr/>
        <w:tc>
          <w:tcPr>
            <w:tcW w:w="72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 for diluted calculation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205,865,093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201,065,185</w:t>
            </w:r>
          </w:p>
        </w:tc>
        <w:tc>
          <w:tcPr>
            <w:tcW w:w="114" w:type="dxa"/>
            <w:tcBorders/>
            <w:shd w:fill="CCEEFF" w:val="clear"/>
            <w:vAlign w:val="center"/>
          </w:tcPr>
          <w:p>
            <w:pPr>
              <w:pStyle w:val="TableContents"/>
              <w:bidi w:val="0"/>
              <w:spacing w:before="0" w:after="283"/>
              <w:jc w:val="left"/>
              <w:rPr/>
            </w:pPr>
            <w:r>
              <w:rPr/>
              <w:t> </w:t>
            </w:r>
          </w:p>
        </w:tc>
      </w:tr>
      <w:tr>
        <w:trPr/>
        <w:tc>
          <w:tcPr>
            <w:tcW w:w="72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82" w:name="xdx_407_eus-gaap--IncomeLossFromContinui"/>
            <w:bookmarkEnd w:id="882"/>
          </w:p>
        </w:tc>
      </w:tr>
      <w:tr>
        <w:trPr/>
        <w:tc>
          <w:tcPr>
            <w:tcW w:w="72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net income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(0.13</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3" w:name="xdx_40F_eus-gaap--IncomeLossFromContinui"/>
            <w:bookmarkEnd w:id="883"/>
          </w:p>
        </w:tc>
      </w:tr>
      <w:tr>
        <w:trPr/>
        <w:tc>
          <w:tcPr>
            <w:tcW w:w="729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net income (loss)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(0.13</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884" w:name="xdx_8AB_ziGyLthSWnib"/>
      <w:bookmarkEnd w:id="884"/>
      <w:r>
        <w:rPr>
          <w:caps w:val="false"/>
          <w:smallCaps w:val="false"/>
        </w:rPr>
        <w:t> </w:t>
      </w:r>
    </w:p>
    <w:p>
      <w:pPr>
        <w:pStyle w:val="TextBody"/>
        <w:bidi w:val="0"/>
        <w:spacing w:before="0" w:after="0"/>
        <w:ind w:left="0" w:right="0" w:hanging="0"/>
        <w:jc w:val="left"/>
        <w:rPr>
          <w:caps w:val="false"/>
          <w:smallCaps w:val="false"/>
        </w:rPr>
      </w:pPr>
      <w:bookmarkStart w:id="885" w:name="xdx_80B_eus-gaap--RelatedPartyTransactio"/>
      <w:bookmarkEnd w:id="885"/>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90"/>
        <w:gridCol w:w="324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3245" w:type="dxa"/>
            <w:tcBorders/>
            <w:vAlign w:val="center"/>
          </w:tcPr>
          <w:p>
            <w:pPr>
              <w:pStyle w:val="TableContents"/>
              <w:bidi w:val="0"/>
              <w:spacing w:before="0" w:after="283"/>
              <w:jc w:val="both"/>
              <w:rPr>
                <w:rFonts w:ascii="Times New Roman;Times;Serif" w:hAnsi="Times New Roman;Times;Serif"/>
                <w:b/>
                <w:sz w:val="20"/>
              </w:rPr>
            </w:pPr>
            <w:bookmarkStart w:id="886" w:name="xdx_828_zLMgWRQl4Sy5"/>
            <w:bookmarkEnd w:id="886"/>
            <w:r>
              <w:rPr>
                <w:rFonts w:ascii="Times New Roman;Times;Serif" w:hAnsi="Times New Roman;Times;Serif"/>
                <w:b/>
                <w:sz w:val="20"/>
              </w:rPr>
              <w:t>RELATED PARTY TRANSACTIONS</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87" w:name="xdx_892_ecustom--ScheduleOfRelatedPartyT"/>
      <w:bookmarkEnd w:id="887"/>
      <w:r>
        <w:rPr>
          <w:caps w:val="false"/>
          <w:smallCaps w:val="false"/>
        </w:rPr>
        <w:t> </w:t>
      </w:r>
      <w:bookmarkStart w:id="888" w:name="xdx_8BC_zrgMOcaIm3nh"/>
      <w:bookmarkEnd w:id="888"/>
      <w:r>
        <w:rPr>
          <w:rFonts w:ascii="Times New Roman;Times;Serif" w:hAnsi="Times New Roman;Times;Serif"/>
          <w:b w:val="false"/>
          <w:i w:val="false"/>
          <w:caps w:val="false"/>
          <w:smallCaps w:val="false"/>
          <w:sz w:val="20"/>
        </w:rPr>
        <w:t>SUMMARY OF RELATED PARTY TRANSACTION RELATIONSHIP</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28" w:type="dxa"/>
          <w:right w:w="0" w:type="dxa"/>
        </w:tblCellMar>
      </w:tblPr>
      <w:tblGrid>
        <w:gridCol w:w="4250"/>
        <w:gridCol w:w="4430"/>
      </w:tblGrid>
      <w:tr>
        <w:trPr/>
        <w:tc>
          <w:tcPr>
            <w:tcW w:w="4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4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Group</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Viomi and its subsidiaries (“Foshan Viomi”)</w:t>
            </w:r>
          </w:p>
        </w:tc>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9" w:name="xdx_90A_eus-gaap--RelatedPartyTransactio"/>
            <w:bookmarkEnd w:id="889"/>
            <w:r>
              <w:rPr>
                <w:rFonts w:ascii="Times New Roman;Times;Serif" w:hAnsi="Times New Roman;Times;Serif"/>
                <w:b w:val="false"/>
                <w:i w:val="false"/>
                <w:caps w:val="false"/>
                <w:smallCaps w:val="false"/>
                <w:sz w:val="20"/>
              </w:rPr>
              <w:t>Controlled by a principal shareholder of the Company</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Xiaomi</w:t>
            </w:r>
          </w:p>
        </w:tc>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90" w:name="xdx_90B_eus-gaap--RelatedPartyTransactio"/>
            <w:bookmarkEnd w:id="890"/>
            <w:r>
              <w:rPr>
                <w:rFonts w:ascii="Times New Roman;Times;Serif" w:hAnsi="Times New Roman;Times;Serif"/>
                <w:b w:val="false"/>
                <w:i w:val="false"/>
                <w:caps w:val="false"/>
                <w:smallCaps w:val="false"/>
                <w:sz w:val="20"/>
              </w:rPr>
              <w:t>Shareholder of the Group</w:t>
            </w:r>
          </w:p>
        </w:tc>
      </w:tr>
    </w:tbl>
    <w:p>
      <w:pPr>
        <w:pStyle w:val="TextBody"/>
        <w:bidi w:val="0"/>
        <w:spacing w:before="0" w:after="0"/>
        <w:ind w:left="0" w:right="0" w:hanging="0"/>
        <w:jc w:val="left"/>
        <w:rPr>
          <w:caps w:val="false"/>
          <w:smallCaps w:val="false"/>
        </w:rPr>
      </w:pPr>
      <w:bookmarkStart w:id="891" w:name="xdx_8A2_z173l9AM8Ub3"/>
      <w:bookmarkEnd w:id="891"/>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Group’s relationship and transaction with Xiaomi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Xiaomi is the Group’s strategic partner and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sales to Xiaomi are governed by a business cooperation agreement, pursuant to which Xiaomi is responsible for the distribution and sales of such products through their network and sales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sells products through Xiaomi’s online e-commerce channel Xiaomiyoupin.com, and is charged of commissions pursuant to a commission sales agreement.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90"/>
        <w:gridCol w:w="428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42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(Continued)</w:t>
            </w:r>
          </w:p>
        </w:tc>
      </w:tr>
    </w:tbl>
    <w:p>
      <w:pPr>
        <w:pStyle w:val="TextBody"/>
        <w:bidi w:val="0"/>
        <w:spacing w:before="0" w:after="0"/>
        <w:ind w:left="60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Foshan Viomi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sells water purifiers and other products to and purchases raw materials from Foshan Viomi. In addition, The Group leases its office premises to Foshan Viomi, and the Group also engages Foshan Viomi for other services such as transportation services, maintenance services as well as installation services etc.</w:t>
      </w:r>
    </w:p>
    <w:p>
      <w:pPr>
        <w:pStyle w:val="TextBody"/>
        <w:bidi w:val="0"/>
        <w:spacing w:before="0" w:after="0"/>
        <w:ind w:left="600" w:right="0" w:hanging="0"/>
        <w:jc w:val="both"/>
        <w:rPr>
          <w:caps w:val="false"/>
          <w:smallCaps w:val="false"/>
        </w:rPr>
      </w:pPr>
      <w:bookmarkStart w:id="892" w:name="xdx_892_eus-gaap--ScheduleOfRelatedParty"/>
      <w:bookmarkEnd w:id="892"/>
      <w:r>
        <w:rPr>
          <w:caps w:val="false"/>
          <w:smallCaps w:val="false"/>
        </w:rPr>
        <w:t> </w:t>
      </w:r>
      <w:bookmarkStart w:id="893" w:name="xdx_8B1_zKfA8HMQ4cEj"/>
      <w:bookmarkEnd w:id="893"/>
      <w:r>
        <w:rPr>
          <w:rFonts w:ascii="Times New Roman;Times;Serif" w:hAnsi="Times New Roman;Times;Serif"/>
          <w:b w:val="false"/>
          <w:i w:val="false"/>
          <w:caps w:val="false"/>
          <w:smallCaps w:val="false"/>
          <w:sz w:val="20"/>
        </w:rPr>
        <w:t>SUMMARY OF RELATED PARTY TRANSACTIONS</w:t>
      </w:r>
    </w:p>
    <w:tbl>
      <w:tblPr>
        <w:tblW w:w="3160" w:type="dxa"/>
        <w:jc w:val="left"/>
        <w:tblInd w:w="0" w:type="dxa"/>
        <w:tblLayout w:type="fixed"/>
        <w:tblCellMar>
          <w:top w:w="0" w:type="dxa"/>
          <w:left w:w="0" w:type="dxa"/>
          <w:bottom w:w="0" w:type="dxa"/>
          <w:right w:w="0" w:type="dxa"/>
        </w:tblCellMar>
      </w:tblPr>
      <w:tblGrid>
        <w:gridCol w:w="260"/>
        <w:gridCol w:w="2900"/>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29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 due from/to related parties</w:t>
            </w:r>
          </w:p>
        </w:tc>
      </w:tr>
    </w:tbl>
    <w:p>
      <w:pPr>
        <w:pStyle w:val="TextBody"/>
        <w:bidi w:val="0"/>
        <w:spacing w:before="0" w:after="0"/>
        <w:ind w:left="600" w:right="0" w:hanging="0"/>
        <w:jc w:val="both"/>
        <w:rPr>
          <w:caps w:val="false"/>
          <w:smallCaps w:val="false"/>
        </w:rPr>
      </w:pPr>
      <w:r>
        <w:rPr>
          <w:caps w:val="false"/>
          <w:smallCaps w:val="false"/>
        </w:rPr>
        <w:t> </w:t>
      </w:r>
    </w:p>
    <w:tbl>
      <w:tblPr>
        <w:tblW w:w="7918" w:type="dxa"/>
        <w:jc w:val="left"/>
        <w:tblInd w:w="0" w:type="dxa"/>
        <w:tblLayout w:type="fixed"/>
        <w:tblCellMar>
          <w:top w:w="0" w:type="dxa"/>
          <w:left w:w="0" w:type="dxa"/>
          <w:bottom w:w="0" w:type="dxa"/>
          <w:right w:w="0" w:type="dxa"/>
        </w:tblCellMar>
      </w:tblPr>
      <w:tblGrid>
        <w:gridCol w:w="4205"/>
        <w:gridCol w:w="60"/>
        <w:gridCol w:w="138"/>
        <w:gridCol w:w="1861"/>
        <w:gridCol w:w="60"/>
        <w:gridCol w:w="60"/>
        <w:gridCol w:w="101"/>
        <w:gridCol w:w="1358"/>
        <w:gridCol w:w="75"/>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4" w:name="xdx_49F_20251231__us-gaap--RelatedPartyT"/>
            <w:bookmarkEnd w:id="894"/>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5" w:name="xdx_497_20260630__us-gaap--RelatedPartyT"/>
            <w:bookmarkEnd w:id="895"/>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Accounts receivable from related parties: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96" w:name="xdx_40D_eus-gaap--AccountsReceivableNetC"/>
            <w:bookmarkEnd w:id="896"/>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Xiaomi</w:t>
            </w:r>
            <w:bookmarkStart w:id="897" w:name="xdx_F4E_zbTa2dzGg0l6"/>
            <w:bookmarkEnd w:id="897"/>
            <w:r>
              <w:rPr>
                <w:rFonts w:ascii="Times New Roman;Times;Serif" w:hAnsi="Times New Roman;Times;Serif"/>
                <w:position w:val="8"/>
                <w:sz w:val="19"/>
              </w:rPr>
              <w:t>(a)</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366,158</w:t>
            </w:r>
          </w:p>
        </w:tc>
        <w:tc>
          <w:tcPr>
            <w:tcW w:w="75" w:type="dxa"/>
            <w:tcBorders/>
            <w:shd w:fill="FFFFFF" w:val="clear"/>
            <w:vAlign w:val="center"/>
          </w:tcPr>
          <w:p>
            <w:pPr>
              <w:pStyle w:val="TableContents"/>
              <w:bidi w:val="0"/>
              <w:spacing w:before="0" w:after="283"/>
              <w:jc w:val="left"/>
              <w:rPr/>
            </w:pPr>
            <w:r>
              <w:rPr/>
              <w:t> </w:t>
            </w:r>
            <w:bookmarkStart w:id="898" w:name="xdx_405_eus-gaap--AccountsReceivableNetC"/>
            <w:bookmarkEnd w:id="898"/>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Foshan Viomi</w:t>
            </w:r>
            <w:bookmarkStart w:id="899" w:name="xdx_F44_zLzorHyNUJV6"/>
            <w:bookmarkEnd w:id="899"/>
            <w:r>
              <w:rPr>
                <w:rFonts w:ascii="Times New Roman;Times;Serif" w:hAnsi="Times New Roman;Times;Serif"/>
                <w:position w:val="8"/>
                <w:sz w:val="19"/>
              </w:rPr>
              <w:t>(c)</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w:t>
            </w:r>
          </w:p>
        </w:tc>
        <w:tc>
          <w:tcPr>
            <w:tcW w:w="75" w:type="dxa"/>
            <w:tcBorders/>
            <w:shd w:fill="CCEEFF" w:val="clear"/>
            <w:vAlign w:val="center"/>
          </w:tcPr>
          <w:p>
            <w:pPr>
              <w:pStyle w:val="TableContents"/>
              <w:bidi w:val="0"/>
              <w:spacing w:before="0" w:after="283"/>
              <w:jc w:val="left"/>
              <w:rPr/>
            </w:pPr>
            <w:r>
              <w:rPr/>
              <w:t> </w:t>
            </w:r>
            <w:bookmarkStart w:id="900" w:name="xdx_405_eus-gaap--AccountsReceivableNetC"/>
            <w:bookmarkEnd w:id="900"/>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389,918</w:t>
            </w:r>
          </w:p>
        </w:tc>
        <w:tc>
          <w:tcPr>
            <w:tcW w:w="75" w:type="dxa"/>
            <w:tcBorders/>
            <w:shd w:fill="FFFFFF" w:val="clear"/>
            <w:vAlign w:val="center"/>
          </w:tcPr>
          <w:p>
            <w:pPr>
              <w:pStyle w:val="TableContents"/>
              <w:bidi w:val="0"/>
              <w:spacing w:before="0" w:after="283"/>
              <w:jc w:val="left"/>
              <w:rPr/>
            </w:pPr>
            <w:r>
              <w:rPr/>
              <w:t> </w:t>
            </w:r>
            <w:bookmarkStart w:id="901" w:name="xdx_40F_eus-gaap--AccountsReceivableNetC"/>
            <w:bookmarkEnd w:id="901"/>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Accounts receivable from a related party</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389,918</w:t>
            </w:r>
          </w:p>
        </w:tc>
        <w:tc>
          <w:tcPr>
            <w:tcW w:w="7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receivables from related parties: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02" w:name="xdx_405_eus-gaap--OtherReceivablesNetCur"/>
            <w:bookmarkEnd w:id="902"/>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 from Xiaomi</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w:t>
            </w:r>
          </w:p>
        </w:tc>
        <w:tc>
          <w:tcPr>
            <w:tcW w:w="75" w:type="dxa"/>
            <w:tcBorders/>
            <w:shd w:fill="CCEEFF" w:val="clear"/>
            <w:vAlign w:val="center"/>
          </w:tcPr>
          <w:p>
            <w:pPr>
              <w:pStyle w:val="TableContents"/>
              <w:bidi w:val="0"/>
              <w:spacing w:before="0" w:after="283"/>
              <w:jc w:val="left"/>
              <w:rPr/>
            </w:pPr>
            <w:r>
              <w:rPr/>
              <w:t> </w:t>
            </w:r>
            <w:bookmarkStart w:id="903" w:name="xdx_406_eus-gaap--OtherReceivablesNetCur"/>
            <w:bookmarkEnd w:id="903"/>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537</w:t>
            </w:r>
          </w:p>
        </w:tc>
        <w:tc>
          <w:tcPr>
            <w:tcW w:w="75" w:type="dxa"/>
            <w:tcBorders/>
            <w:shd w:fill="FFFFFF" w:val="clear"/>
            <w:vAlign w:val="center"/>
          </w:tcPr>
          <w:p>
            <w:pPr>
              <w:pStyle w:val="TableContents"/>
              <w:bidi w:val="0"/>
              <w:spacing w:before="0" w:after="283"/>
              <w:jc w:val="left"/>
              <w:rPr/>
            </w:pPr>
            <w:r>
              <w:rPr/>
              <w:t> </w:t>
            </w:r>
            <w:bookmarkStart w:id="904" w:name="xdx_408_eus-gaap--OtherReceivablesNetCur"/>
            <w:bookmarkEnd w:id="904"/>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receivables from related parties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537</w:t>
            </w:r>
          </w:p>
        </w:tc>
        <w:tc>
          <w:tcPr>
            <w:tcW w:w="7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8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05" w:name="xdx_402_eus-gaap--OtherLiabilitiesCurren"/>
            <w:bookmarkEnd w:id="905"/>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other payable to Xiaomi</w:t>
            </w:r>
            <w:bookmarkStart w:id="906" w:name="xdx_F4B_zbBJWQxrzTb6"/>
            <w:bookmarkEnd w:id="906"/>
            <w:r>
              <w:rPr>
                <w:rFonts w:ascii="Times New Roman;Times;Serif" w:hAnsi="Times New Roman;Times;Serif"/>
                <w:sz w:val="20"/>
              </w:rPr>
              <w:t>(a)</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2,668</w:t>
            </w:r>
          </w:p>
        </w:tc>
        <w:tc>
          <w:tcPr>
            <w:tcW w:w="75" w:type="dxa"/>
            <w:tcBorders/>
            <w:shd w:fill="CCEEFF" w:val="clear"/>
            <w:vAlign w:val="center"/>
          </w:tcPr>
          <w:p>
            <w:pPr>
              <w:pStyle w:val="TableContents"/>
              <w:bidi w:val="0"/>
              <w:spacing w:before="0" w:after="283"/>
              <w:jc w:val="left"/>
              <w:rPr/>
            </w:pPr>
            <w:r>
              <w:rPr/>
              <w:t> </w:t>
            </w:r>
            <w:bookmarkStart w:id="907" w:name="xdx_40B_eus-gaap--OtherLiabilitiesCurren"/>
            <w:bookmarkEnd w:id="907"/>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60"/>
        <w:gridCol w:w="2465"/>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24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from related parties</w:t>
            </w:r>
          </w:p>
        </w:tc>
      </w:tr>
    </w:tbl>
    <w:p>
      <w:pPr>
        <w:pStyle w:val="TextBody"/>
        <w:bidi w:val="0"/>
        <w:spacing w:before="0" w:after="0"/>
        <w:ind w:left="600" w:right="0" w:hanging="0"/>
        <w:jc w:val="both"/>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3050"/>
        <w:gridCol w:w="60"/>
        <w:gridCol w:w="121"/>
        <w:gridCol w:w="1138"/>
        <w:gridCol w:w="121"/>
        <w:gridCol w:w="121"/>
        <w:gridCol w:w="121"/>
        <w:gridCol w:w="1138"/>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08" w:name="xdx_495_20250101__20250630__us-gaap--Rel"/>
            <w:bookmarkEnd w:id="908"/>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bookmarkStart w:id="909" w:name="xdx_499_20260101__20260630__us-gaap--Rel"/>
            <w:bookmarkEnd w:id="909"/>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bookmarkStart w:id="910" w:name="xdx_40A_eus-gaap--RelatedPartyTransactio"/>
            <w:bookmarkEnd w:id="910"/>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Foshan Viomi</w:t>
            </w:r>
            <w:bookmarkStart w:id="911" w:name="xdx_F47_zSkLfDYqjwO4"/>
            <w:bookmarkEnd w:id="911"/>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5,366</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9,798</w:t>
            </w:r>
          </w:p>
        </w:tc>
        <w:tc>
          <w:tcPr>
            <w:tcW w:w="75" w:type="dxa"/>
            <w:tcBorders/>
            <w:shd w:fill="CCEEFF" w:val="clear"/>
            <w:vAlign w:val="center"/>
          </w:tcPr>
          <w:p>
            <w:pPr>
              <w:pStyle w:val="TableContents"/>
              <w:bidi w:val="0"/>
              <w:spacing w:before="0" w:after="283"/>
              <w:jc w:val="left"/>
              <w:rPr/>
            </w:pPr>
            <w:r>
              <w:rPr/>
              <w:t> </w:t>
            </w:r>
            <w:bookmarkStart w:id="912" w:name="xdx_40D_eus-gaap--RelatedPartyTransactio"/>
            <w:bookmarkEnd w:id="912"/>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5,366</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9,798</w:t>
            </w:r>
          </w:p>
        </w:tc>
        <w:tc>
          <w:tcPr>
            <w:tcW w:w="75" w:type="dxa"/>
            <w:tcBorders/>
            <w:shd w:fill="FFFFFF" w:val="clear"/>
            <w:vAlign w:val="center"/>
          </w:tcPr>
          <w:p>
            <w:pPr>
              <w:pStyle w:val="TableContents"/>
              <w:bidi w:val="0"/>
              <w:spacing w:before="0" w:after="283"/>
              <w:jc w:val="left"/>
              <w:rPr/>
            </w:pPr>
            <w:r>
              <w:rPr/>
              <w:t> </w:t>
            </w:r>
            <w:bookmarkStart w:id="913" w:name="xdx_40B_eus-gaap--RelatedPartyTransactio"/>
            <w:bookmarkEnd w:id="913"/>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Purchase from related parties</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5,366</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60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90"/>
        <w:gridCol w:w="428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42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(Continued)</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60"/>
        <w:gridCol w:w="2390"/>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23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5916" w:type="dxa"/>
        <w:jc w:val="left"/>
        <w:tblInd w:w="0" w:type="dxa"/>
        <w:tblLayout w:type="fixed"/>
        <w:tblCellMar>
          <w:top w:w="0" w:type="dxa"/>
          <w:left w:w="0" w:type="dxa"/>
          <w:bottom w:w="0" w:type="dxa"/>
          <w:right w:w="0" w:type="dxa"/>
        </w:tblCellMar>
      </w:tblPr>
      <w:tblGrid>
        <w:gridCol w:w="2990"/>
        <w:gridCol w:w="60"/>
        <w:gridCol w:w="82"/>
        <w:gridCol w:w="1341"/>
        <w:gridCol w:w="82"/>
        <w:gridCol w:w="82"/>
        <w:gridCol w:w="83"/>
        <w:gridCol w:w="1121"/>
        <w:gridCol w:w="75"/>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4" w:name="xdx_494_20250101__20250630__us-gaap--Rel"/>
            <w:bookmarkEnd w:id="914"/>
          </w:p>
        </w:tc>
        <w:tc>
          <w:tcPr>
            <w:tcW w:w="14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915" w:name="xdx_49D_20260101__20260630__us-gaap--Rel"/>
            <w:bookmarkEnd w:id="915"/>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bookmarkStart w:id="916" w:name="xdx_406_eus-gaap--RevenueFromContractWit"/>
            <w:bookmarkEnd w:id="916"/>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Xiaomi</w:t>
            </w:r>
            <w:bookmarkStart w:id="917" w:name="xdx_F4C_zkYlNXi7sCci"/>
            <w:bookmarkEnd w:id="917"/>
            <w:r>
              <w:rPr>
                <w:rFonts w:ascii="Times New Roman;Times;Serif" w:hAnsi="Times New Roman;Times;Serif"/>
                <w:sz w:val="20"/>
              </w:rPr>
              <w:t>(a)</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1,347,652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652,894</w:t>
            </w:r>
          </w:p>
        </w:tc>
        <w:tc>
          <w:tcPr>
            <w:tcW w:w="75" w:type="dxa"/>
            <w:tcBorders/>
            <w:shd w:fill="CCEEFF" w:val="clear"/>
            <w:vAlign w:val="center"/>
          </w:tcPr>
          <w:p>
            <w:pPr>
              <w:pStyle w:val="TableContents"/>
              <w:bidi w:val="0"/>
              <w:spacing w:before="0" w:after="283"/>
              <w:jc w:val="left"/>
              <w:rPr/>
            </w:pPr>
            <w:r>
              <w:rPr/>
              <w:t> </w:t>
            </w:r>
            <w:bookmarkStart w:id="918" w:name="xdx_405_eus-gaap--RevenueFromContractWit"/>
            <w:bookmarkEnd w:id="918"/>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Foshan Viomi</w:t>
            </w:r>
            <w:bookmarkStart w:id="919" w:name="xdx_F45_zreG9YSw3Q29"/>
            <w:bookmarkEnd w:id="919"/>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13,244</w:t>
            </w:r>
          </w:p>
        </w:tc>
        <w:tc>
          <w:tcPr>
            <w:tcW w:w="75" w:type="dxa"/>
            <w:tcBorders/>
            <w:shd w:fill="FFFFFF" w:val="clear"/>
            <w:vAlign w:val="center"/>
          </w:tcPr>
          <w:p>
            <w:pPr>
              <w:pStyle w:val="TableContents"/>
              <w:bidi w:val="0"/>
              <w:spacing w:before="0" w:after="283"/>
              <w:jc w:val="left"/>
              <w:rPr/>
            </w:pPr>
            <w:r>
              <w:rPr/>
              <w:t> </w:t>
            </w:r>
            <w:bookmarkStart w:id="920" w:name="xdx_406_eus-gaap--RevenueFromContractWit"/>
            <w:bookmarkEnd w:id="920"/>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1,360,966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666,138</w:t>
            </w:r>
          </w:p>
        </w:tc>
        <w:tc>
          <w:tcPr>
            <w:tcW w:w="75" w:type="dxa"/>
            <w:tcBorders/>
            <w:shd w:fill="CCEEFF" w:val="clear"/>
            <w:vAlign w:val="center"/>
          </w:tcPr>
          <w:p>
            <w:pPr>
              <w:pStyle w:val="TableContents"/>
              <w:bidi w:val="0"/>
              <w:spacing w:before="0" w:after="283"/>
              <w:jc w:val="left"/>
              <w:rPr/>
            </w:pPr>
            <w:r>
              <w:rPr/>
              <w:t> </w:t>
            </w:r>
            <w:bookmarkStart w:id="921" w:name="xdx_406_eus-gaap--RevenueFromContractWit"/>
            <w:bookmarkEnd w:id="921"/>
          </w:p>
        </w:tc>
      </w:tr>
      <w:tr>
        <w:trPr/>
        <w:tc>
          <w:tcPr>
            <w:tcW w:w="2990" w:type="dxa"/>
            <w:tcBorders/>
            <w:shd w:fill="CCEEFF" w:val="clear"/>
            <w:vAlign w:val="center"/>
          </w:tcPr>
          <w:p>
            <w:pPr>
              <w:pStyle w:val="TableContents"/>
              <w:bidi w:val="0"/>
              <w:spacing w:before="0" w:after="283"/>
              <w:jc w:val="left"/>
              <w:rPr>
                <w:b/>
              </w:rPr>
            </w:pPr>
            <w:r>
              <w:rPr>
                <w:b/>
              </w:rPr>
              <w:t>Revenue from related parties</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1,360,966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666,138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60"/>
        <w:gridCol w:w="2615"/>
      </w:tblGrid>
      <w:tr>
        <w:trPr/>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6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tc>
      </w:tr>
    </w:tbl>
    <w:p>
      <w:pPr>
        <w:pStyle w:val="TextBody"/>
        <w:bidi w:val="0"/>
        <w:spacing w:before="0" w:after="0"/>
        <w:ind w:left="420" w:right="0" w:hanging="0"/>
        <w:jc w:val="left"/>
        <w:rPr>
          <w:caps w:val="false"/>
          <w:smallCaps w:val="false"/>
        </w:rPr>
      </w:pPr>
      <w:r>
        <w:rPr>
          <w:caps w:val="false"/>
          <w:smallCaps w:val="false"/>
        </w:rPr>
        <w:t> </w:t>
      </w:r>
    </w:p>
    <w:tbl>
      <w:tblPr>
        <w:tblW w:w="6547" w:type="dxa"/>
        <w:jc w:val="left"/>
        <w:tblInd w:w="0" w:type="dxa"/>
        <w:tblLayout w:type="fixed"/>
        <w:tblCellMar>
          <w:top w:w="0" w:type="dxa"/>
          <w:left w:w="0" w:type="dxa"/>
          <w:bottom w:w="0" w:type="dxa"/>
          <w:right w:w="0" w:type="dxa"/>
        </w:tblCellMar>
      </w:tblPr>
      <w:tblGrid>
        <w:gridCol w:w="3650"/>
        <w:gridCol w:w="60"/>
        <w:gridCol w:w="103"/>
        <w:gridCol w:w="1175"/>
        <w:gridCol w:w="103"/>
        <w:gridCol w:w="103"/>
        <w:gridCol w:w="103"/>
        <w:gridCol w:w="1175"/>
        <w:gridCol w:w="75"/>
      </w:tblGrid>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22" w:name="xdx_49C_20250101__20250630__us-gaap--Rel"/>
            <w:bookmarkEnd w:id="922"/>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bookmarkStart w:id="923" w:name="xdx_497_20260101__20260630__us-gaap--Rel"/>
            <w:bookmarkEnd w:id="923"/>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bookmarkStart w:id="924" w:name="xdx_40A_eus-gaap--SellingAndMarketingExp"/>
            <w:bookmarkEnd w:id="924"/>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 expenses charged by Xiaomi</w:t>
            </w:r>
            <w:bookmarkStart w:id="925" w:name="xdx_F4F_ztCRcgtfmkg2"/>
            <w:bookmarkEnd w:id="925"/>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16,047</w:t>
            </w:r>
          </w:p>
        </w:tc>
        <w:tc>
          <w:tcPr>
            <w:tcW w:w="75" w:type="dxa"/>
            <w:tcBorders/>
            <w:shd w:fill="CCEEFF" w:val="clear"/>
            <w:vAlign w:val="center"/>
          </w:tcPr>
          <w:p>
            <w:pPr>
              <w:pStyle w:val="TableContents"/>
              <w:bidi w:val="0"/>
              <w:spacing w:before="0" w:after="283"/>
              <w:jc w:val="left"/>
              <w:rPr/>
            </w:pPr>
            <w:r>
              <w:rPr/>
              <w:t> </w:t>
            </w:r>
            <w:bookmarkStart w:id="926" w:name="xdx_40E_eus-gaap--SellingAndMarketingExp"/>
            <w:bookmarkEnd w:id="926"/>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expenses charged by Foshan Viomi</w:t>
            </w:r>
            <w:bookmarkStart w:id="927" w:name="xdx_F46_zoDf4MgIQ6Bh"/>
            <w:bookmarkEnd w:id="927"/>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5,460</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3,465</w:t>
            </w:r>
          </w:p>
        </w:tc>
        <w:tc>
          <w:tcPr>
            <w:tcW w:w="75" w:type="dxa"/>
            <w:tcBorders/>
            <w:shd w:fill="FFFFFF" w:val="clear"/>
            <w:vAlign w:val="center"/>
          </w:tcPr>
          <w:p>
            <w:pPr>
              <w:pStyle w:val="TableContents"/>
              <w:bidi w:val="0"/>
              <w:spacing w:before="0" w:after="283"/>
              <w:jc w:val="left"/>
              <w:rPr/>
            </w:pPr>
            <w:r>
              <w:rPr/>
              <w:t> </w:t>
            </w:r>
            <w:bookmarkStart w:id="928" w:name="xdx_407_eus-gaap--SellingAndMarketingExp"/>
            <w:bookmarkEnd w:id="928"/>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28,056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19,512</w:t>
            </w:r>
          </w:p>
        </w:tc>
        <w:tc>
          <w:tcPr>
            <w:tcW w:w="75" w:type="dxa"/>
            <w:tcBorders/>
            <w:shd w:fill="CCEEFF" w:val="clear"/>
            <w:vAlign w:val="center"/>
          </w:tcPr>
          <w:p>
            <w:pPr>
              <w:pStyle w:val="TableContents"/>
              <w:bidi w:val="0"/>
              <w:spacing w:before="0" w:after="283"/>
              <w:jc w:val="left"/>
              <w:rPr/>
            </w:pPr>
            <w:r>
              <w:rPr/>
              <w:t> </w:t>
            </w:r>
            <w:bookmarkStart w:id="929" w:name="xdx_40F_eus-gaap--SellingAndMarketingExp"/>
            <w:bookmarkEnd w:id="929"/>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28,056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19,512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30" w:name="xdx_F03_zEpuz6ge17Xk"/>
            <w:bookmarkEnd w:id="930"/>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31" w:name="xdx_F16_zn7iMe2Dct0e"/>
            <w:bookmarkEnd w:id="931"/>
            <w:r>
              <w:rPr>
                <w:rFonts w:ascii="Times New Roman;Times;Serif" w:hAnsi="Times New Roman;Times;Serif"/>
                <w:b w:val="false"/>
                <w:i w:val="false"/>
                <w:caps w:val="false"/>
                <w:smallCaps w:val="false"/>
                <w:sz w:val="20"/>
              </w:rPr>
              <w:t>The Group both sells water purifiers and other products to and purchase Xiaomi branded products and certain raw materials from Xiaomi. The amount due from Xiaomi represents receivable arising from sales of water purifiers and other products. The balance due to Xiaomi represents payable arising from purchase of Xiaomi branded products and certain raw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32" w:name="xdx_F00_z6XaTYy2wVX9"/>
            <w:bookmarkEnd w:id="932"/>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33" w:name="xdx_F1E_zFJ3gMtBS49"/>
            <w:bookmarkEnd w:id="933"/>
            <w:r>
              <w:rPr>
                <w:rFonts w:ascii="Times New Roman;Times;Serif" w:hAnsi="Times New Roman;Times;Serif"/>
                <w:b w:val="false"/>
                <w:i w:val="false"/>
                <w:caps w:val="false"/>
                <w:smallCaps w:val="false"/>
                <w:sz w:val="20"/>
              </w:rPr>
              <w:t>The Group sells its own brand products on the E-platform of Xiaomi, which charges the Group commission and technical service fees, also Xiaomi provides advertising and promotion service. The amount due from Xiaomi represents sales receivable net of commission, advertising and promotion service.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prior periods have been reclassified to conform with current period presentation. These reclassifications had no impact on the Group’s consolidated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34" w:name="xdx_F0E_z4YIS99jFVMg"/>
            <w:bookmarkEnd w:id="934"/>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35" w:name="xdx_F10_ze1sS6nT1Sx6"/>
            <w:bookmarkEnd w:id="935"/>
            <w:r>
              <w:rPr>
                <w:rFonts w:ascii="Times New Roman;Times;Serif" w:hAnsi="Times New Roman;Times;Serif"/>
                <w:b w:val="false"/>
                <w:i w:val="false"/>
                <w:caps w:val="false"/>
                <w:smallCaps w:val="false"/>
                <w:sz w:val="20"/>
              </w:rPr>
              <w:t>The Group purchases certain raw materials from Foshan Viomi and its subsidiaries. The Group also sells its own branded products to Foshan Viomi, and provides rental services, and other services to Foshan Viomi and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36" w:name="xdx_F00_zqhBOG79Z0Mc"/>
            <w:bookmarkEnd w:id="936"/>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37" w:name="xdx_F1B_zCgPct2ecSZ5"/>
            <w:bookmarkEnd w:id="937"/>
            <w:r>
              <w:rPr>
                <w:rFonts w:ascii="Times New Roman;Times;Serif" w:hAnsi="Times New Roman;Times;Serif"/>
                <w:b w:val="false"/>
                <w:i w:val="false"/>
                <w:caps w:val="false"/>
                <w:smallCaps w:val="false"/>
                <w:sz w:val="20"/>
              </w:rPr>
              <w:t>The Group’s related party provides transportation services, maintenance services, promotion services as well as installation services for the Group.</w:t>
            </w:r>
          </w:p>
        </w:tc>
      </w:tr>
    </w:tbl>
    <w:p>
      <w:pPr>
        <w:pStyle w:val="TextBody"/>
        <w:bidi w:val="0"/>
        <w:spacing w:before="0" w:after="0"/>
        <w:ind w:left="0" w:right="0" w:hanging="0"/>
        <w:jc w:val="left"/>
        <w:rPr>
          <w:caps w:val="false"/>
          <w:smallCaps w:val="false"/>
        </w:rPr>
      </w:pPr>
      <w:bookmarkStart w:id="938" w:name="xdx_8A8_zlB1hqO26n11"/>
      <w:bookmarkEnd w:id="938"/>
      <w:r>
        <w:rPr>
          <w:caps w:val="false"/>
          <w:smallCaps w:val="false"/>
        </w:rPr>
        <w:t> </w:t>
      </w:r>
    </w:p>
    <w:p>
      <w:pPr>
        <w:pStyle w:val="TextBody"/>
        <w:bidi w:val="0"/>
        <w:spacing w:before="0" w:after="0"/>
        <w:ind w:left="0" w:right="0" w:hanging="0"/>
        <w:jc w:val="left"/>
        <w:rPr>
          <w:caps w:val="false"/>
          <w:smallCaps w:val="false"/>
        </w:rPr>
      </w:pPr>
      <w:bookmarkStart w:id="939" w:name="xdx_804_eus-gaap--FairValueDisclosuresTe"/>
      <w:bookmarkEnd w:id="939"/>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90"/>
        <w:gridCol w:w="291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2915" w:type="dxa"/>
            <w:tcBorders/>
            <w:vAlign w:val="center"/>
          </w:tcPr>
          <w:p>
            <w:pPr>
              <w:pStyle w:val="TableContents"/>
              <w:bidi w:val="0"/>
              <w:spacing w:before="0" w:after="283"/>
              <w:jc w:val="both"/>
              <w:rPr>
                <w:rFonts w:ascii="Times New Roman;Times;Serif" w:hAnsi="Times New Roman;Times;Serif"/>
                <w:b/>
                <w:sz w:val="20"/>
              </w:rPr>
            </w:pPr>
            <w:bookmarkStart w:id="940" w:name="xdx_82C_zxiHOeSMvHpd"/>
            <w:bookmarkEnd w:id="940"/>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any other financial instruments that were required to be measured at fair value on a recurring basis as of December 31, 2025 and June 30, 2026 except for short-term investments (Note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41" w:name="xdx_89F_eus-gaap--FairValueAssetsMeasure"/>
      <w:bookmarkEnd w:id="941"/>
      <w:r>
        <w:rPr>
          <w:rFonts w:ascii="Times New Roman;Times;Serif" w:hAnsi="Times New Roman;Times;Serif"/>
          <w:b w:val="false"/>
          <w:i w:val="false"/>
          <w:caps w:val="false"/>
          <w:smallCaps w:val="false"/>
          <w:sz w:val="20"/>
        </w:rPr>
        <w:t>The following table summarizes the Group’s assets that are measured at fair value on a recurring basis and are categorized using the fair value hierarchy as of December 31, 2025 and June 30, 2026:</w:t>
      </w:r>
    </w:p>
    <w:p>
      <w:pPr>
        <w:pStyle w:val="TextBody"/>
        <w:bidi w:val="0"/>
        <w:spacing w:before="0" w:after="0"/>
        <w:ind w:left="0" w:right="0" w:hanging="0"/>
        <w:jc w:val="left"/>
        <w:rPr>
          <w:caps w:val="false"/>
          <w:smallCaps w:val="false"/>
        </w:rPr>
      </w:pPr>
      <w:r>
        <w:rPr>
          <w:caps w:val="false"/>
          <w:smallCaps w:val="false"/>
        </w:rPr>
        <w:t> </w:t>
      </w:r>
      <w:bookmarkStart w:id="942" w:name="xdx_8B9_zLtCcgplkNC2"/>
      <w:bookmarkEnd w:id="942"/>
      <w:r>
        <w:rPr>
          <w:rFonts w:ascii="Times New Roman;Times;Serif" w:hAnsi="Times New Roman;Times;Serif"/>
          <w:b w:val="false"/>
          <w:i w:val="false"/>
          <w:caps w:val="false"/>
          <w:smallCaps w:val="false"/>
          <w:sz w:val="20"/>
        </w:rPr>
        <w:t>SUMMARY OF ASSETS MEASURED AT FAIR VALUE ON RECURRING BASIS</w:t>
      </w:r>
    </w:p>
    <w:tbl>
      <w:tblPr>
        <w:tblW w:w="6292" w:type="dxa"/>
        <w:jc w:val="left"/>
        <w:tblInd w:w="0" w:type="dxa"/>
        <w:tblLayout w:type="fixed"/>
        <w:tblCellMar>
          <w:top w:w="0" w:type="dxa"/>
          <w:left w:w="0" w:type="dxa"/>
          <w:bottom w:w="0" w:type="dxa"/>
          <w:right w:w="0" w:type="dxa"/>
        </w:tblCellMar>
      </w:tblPr>
      <w:tblGrid>
        <w:gridCol w:w="2555"/>
        <w:gridCol w:w="60"/>
        <w:gridCol w:w="291"/>
        <w:gridCol w:w="463"/>
        <w:gridCol w:w="60"/>
        <w:gridCol w:w="60"/>
        <w:gridCol w:w="61"/>
        <w:gridCol w:w="813"/>
        <w:gridCol w:w="60"/>
        <w:gridCol w:w="60"/>
        <w:gridCol w:w="291"/>
        <w:gridCol w:w="463"/>
        <w:gridCol w:w="60"/>
        <w:gridCol w:w="60"/>
        <w:gridCol w:w="60"/>
        <w:gridCol w:w="800"/>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3" w:name="xdx_4BD_us-gaap--FairValueByFairValueHie"/>
            <w:bookmarkEnd w:id="943"/>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4" w:name="xdx_4B7_us-gaap--FairValueByFairValueHie"/>
            <w:bookmarkEnd w:id="944"/>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Level 2 </w:t>
            </w:r>
            <w:bookmarkStart w:id="945" w:name="xdx_F55_zbJEHCFtbzy6"/>
            <w:bookmarkEnd w:id="945"/>
            <w:r>
              <w:rPr>
                <w:rFonts w:ascii="Times New Roman;Times;Serif" w:hAnsi="Times New Roman;Times;Serif"/>
                <w:b/>
                <w:sz w:val="20"/>
              </w:rPr>
              <w:t>(i)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6" w:name="xdx_4B6_us-gaap--FairValueByFairValueHie"/>
            <w:bookmarkEnd w:id="946"/>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7" w:name="xdx_4B4_us-gaap--FairValueByMeasurementF"/>
            <w:bookmarkEnd w:id="947"/>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 of June 30, 2026</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48" w:name="xdx_43B_c20260630_eus-gaap--InvestmentsF"/>
            <w:bookmarkEnd w:id="948"/>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120,805</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 of December 31, 2025</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49" w:name="xdx_43A_c20251231_eus-gaap--InvestmentsF"/>
            <w:bookmarkEnd w:id="949"/>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50" w:name="xdx_F02_zg8VSDH2Cvb8"/>
            <w:bookmarkEnd w:id="950"/>
            <w:r>
              <w:rPr>
                <w:rFonts w:ascii="Times New Roman;Times;Serif" w:hAnsi="Times New Roman;Times;Serif"/>
                <w:b w:val="false"/>
                <w:i w:val="false"/>
                <w:caps w:val="false"/>
                <w:smallCaps w:val="false"/>
                <w:sz w:val="20"/>
              </w:rPr>
              <w:t>(i)</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51" w:name="xdx_F16_zrEKEina3gJa"/>
            <w:bookmarkEnd w:id="951"/>
            <w:r>
              <w:rPr>
                <w:rFonts w:ascii="Times New Roman;Times;Serif" w:hAnsi="Times New Roman;Times;Serif"/>
                <w:b w:val="false"/>
                <w:i w:val="false"/>
                <w:caps w:val="false"/>
                <w:smallCaps w:val="false"/>
                <w:sz w:val="20"/>
              </w:rPr>
              <w:t>These short-term investments represent mainly company securities and structured deposits, and the Company values these short-term investments based on quoted prices of similar products provided by banks at the end of each period, and accordingly, the Company classifies the valuation techniques that use these inputs as Level 2.</w:t>
            </w:r>
          </w:p>
        </w:tc>
      </w:tr>
    </w:tbl>
    <w:p>
      <w:pPr>
        <w:pStyle w:val="TextBody"/>
        <w:bidi w:val="0"/>
        <w:spacing w:before="0" w:after="0"/>
        <w:ind w:left="0" w:right="0" w:hanging="0"/>
        <w:jc w:val="left"/>
        <w:rPr>
          <w:caps w:val="false"/>
          <w:smallCaps w:val="false"/>
        </w:rPr>
      </w:pPr>
      <w:bookmarkStart w:id="952" w:name="xdx_8AF_z8LXhvNIuu57"/>
      <w:bookmarkEnd w:id="95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short-term investments, the Group’s other financial instruments consist principally of cash and cash equivalents, restricted cash, short-term and long-term deposits, accounts and notes receivable, other receivables, amounts due to/from related parties, accounts and notes payable and certain accrued expenses. They are recorded at cost which approximates fair value.</w:t>
      </w:r>
    </w:p>
    <w:p>
      <w:pPr>
        <w:pStyle w:val="TextBody"/>
        <w:bidi w:val="0"/>
        <w:spacing w:before="0" w:after="0"/>
        <w:ind w:left="60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bookmarkStart w:id="953" w:name="xdx_80C_eus-gaap--LesseeOperatingLeasesT"/>
      <w:bookmarkEnd w:id="953"/>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90"/>
        <w:gridCol w:w="78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785" w:type="dxa"/>
            <w:tcBorders/>
            <w:vAlign w:val="center"/>
          </w:tcPr>
          <w:p>
            <w:pPr>
              <w:pStyle w:val="TableContents"/>
              <w:bidi w:val="0"/>
              <w:spacing w:before="0" w:after="283"/>
              <w:jc w:val="both"/>
              <w:rPr>
                <w:rFonts w:ascii="Times New Roman;Times;Serif" w:hAnsi="Times New Roman;Times;Serif"/>
                <w:b/>
                <w:sz w:val="20"/>
              </w:rPr>
            </w:pPr>
            <w:bookmarkStart w:id="954" w:name="xdx_824_z4B9qTlYoTGj"/>
            <w:bookmarkEnd w:id="954"/>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operating leases are principally for office space and facilities. As of December 31, 2025 and June 30, 2026, The Group’s operating leases had a weighted average discount rate of </w:t>
      </w:r>
      <w:bookmarkStart w:id="955" w:name="xdx_906_eus-gaap--OperatingLeaseWeighted"/>
      <w:bookmarkEnd w:id="955"/>
      <w:r>
        <w:rPr>
          <w:rFonts w:ascii="Times New Roman;Times;Serif" w:hAnsi="Times New Roman;Times;Serif"/>
          <w:b w:val="false"/>
          <w:i w:val="false"/>
          <w:caps w:val="false"/>
          <w:smallCaps w:val="false"/>
          <w:sz w:val="20"/>
        </w:rPr>
        <w:t xml:space="preserve">4.75% and </w:t>
      </w:r>
      <w:bookmarkStart w:id="956" w:name="xdx_900_eus-gaap--OperatingLeaseWeighted"/>
      <w:bookmarkEnd w:id="956"/>
      <w:r>
        <w:rPr>
          <w:rFonts w:ascii="Times New Roman;Times;Serif" w:hAnsi="Times New Roman;Times;Serif"/>
          <w:b w:val="false"/>
          <w:i w:val="false"/>
          <w:caps w:val="false"/>
          <w:smallCaps w:val="false"/>
          <w:sz w:val="20"/>
        </w:rPr>
        <w:t xml:space="preserve">4.75% and a weighted-average remaining term of </w:t>
      </w:r>
      <w:bookmarkStart w:id="957" w:name="xdx_908_eus-gaap--OperatingLeaseWeighted"/>
      <w:bookmarkEnd w:id="957"/>
      <w:r>
        <w:rPr>
          <w:rFonts w:ascii="Times New Roman;Times;Serif" w:hAnsi="Times New Roman;Times;Serif"/>
          <w:b w:val="false"/>
          <w:i w:val="false"/>
          <w:caps w:val="false"/>
          <w:smallCaps w:val="false"/>
          <w:sz w:val="20"/>
        </w:rPr>
        <w:t xml:space="preserve">0.9 years and </w:t>
      </w:r>
      <w:bookmarkStart w:id="958" w:name="xdx_901_eus-gaap--OperatingLeaseWeighted"/>
      <w:bookmarkEnd w:id="958"/>
      <w:r>
        <w:rPr>
          <w:rFonts w:ascii="Times New Roman;Times;Serif" w:hAnsi="Times New Roman;Times;Serif"/>
          <w:b w:val="false"/>
          <w:i w:val="false"/>
          <w:caps w:val="false"/>
          <w:smallCaps w:val="false"/>
          <w:sz w:val="20"/>
        </w:rPr>
        <w:t>1.4 years for the six months ended June 30, 2025 and 2026, respectively. The components of lease expense were as follow:</w:t>
      </w:r>
    </w:p>
    <w:p>
      <w:pPr>
        <w:pStyle w:val="TextBody"/>
        <w:bidi w:val="0"/>
        <w:spacing w:before="0" w:after="0"/>
        <w:ind w:left="0" w:right="0" w:hanging="0"/>
        <w:jc w:val="left"/>
        <w:rPr>
          <w:caps w:val="false"/>
          <w:smallCaps w:val="false"/>
        </w:rPr>
      </w:pPr>
      <w:bookmarkStart w:id="959" w:name="xdx_899_eus-gaap--LeaseCostTableTextBloc"/>
      <w:bookmarkEnd w:id="959"/>
      <w:r>
        <w:rPr>
          <w:caps w:val="false"/>
          <w:smallCaps w:val="false"/>
        </w:rPr>
        <w:t> </w:t>
      </w:r>
      <w:bookmarkStart w:id="960" w:name="xdx_8B1_z9VeZx2PN3Wb"/>
      <w:bookmarkEnd w:id="960"/>
      <w:r>
        <w:rPr>
          <w:rFonts w:ascii="Times New Roman;Times;Serif" w:hAnsi="Times New Roman;Times;Serif"/>
          <w:b w:val="false"/>
          <w:i w:val="false"/>
          <w:caps w:val="false"/>
          <w:smallCaps w:val="false"/>
          <w:sz w:val="20"/>
        </w:rPr>
        <w:t>SUMMARY OF COMPONENTS OF LEASE EXPENSE</w:t>
      </w:r>
    </w:p>
    <w:tbl>
      <w:tblPr>
        <w:tblW w:w="5694" w:type="dxa"/>
        <w:jc w:val="left"/>
        <w:tblInd w:w="0" w:type="dxa"/>
        <w:tblLayout w:type="fixed"/>
        <w:tblCellMar>
          <w:top w:w="0" w:type="dxa"/>
          <w:left w:w="0" w:type="dxa"/>
          <w:bottom w:w="0" w:type="dxa"/>
          <w:right w:w="0" w:type="dxa"/>
        </w:tblCellMar>
      </w:tblPr>
      <w:tblGrid>
        <w:gridCol w:w="2660"/>
        <w:gridCol w:w="60"/>
        <w:gridCol w:w="289"/>
        <w:gridCol w:w="963"/>
        <w:gridCol w:w="133"/>
        <w:gridCol w:w="133"/>
        <w:gridCol w:w="133"/>
        <w:gridCol w:w="1248"/>
        <w:gridCol w:w="75"/>
      </w:tblGrid>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61" w:name="xdx_497_20250101__20250630_zJhcm2LRiQuc"/>
            <w:bookmarkEnd w:id="961"/>
          </w:p>
        </w:tc>
        <w:tc>
          <w:tcPr>
            <w:tcW w:w="125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bookmarkStart w:id="962" w:name="xdx_496_20260101__20260630_zM1jKWOq6Iwe"/>
            <w:bookmarkEnd w:id="962"/>
          </w:p>
        </w:tc>
        <w:tc>
          <w:tcPr>
            <w:tcW w:w="138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9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bookmarkStart w:id="963" w:name="xdx_405_eus-gaap--LeaseCostAbstract_iB_z"/>
            <w:bookmarkEnd w:id="963"/>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cost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64" w:name="xdx_40D_eus-gaap--OperatingLeaseCost_pn3"/>
            <w:bookmarkEnd w:id="964"/>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w:t>
            </w:r>
          </w:p>
        </w:tc>
        <w:tc>
          <w:tcPr>
            <w:tcW w:w="75" w:type="dxa"/>
            <w:tcBorders/>
            <w:shd w:fill="FFFFFF" w:val="clear"/>
            <w:vAlign w:val="center"/>
          </w:tcPr>
          <w:p>
            <w:pPr>
              <w:pStyle w:val="TableContents"/>
              <w:bidi w:val="0"/>
              <w:spacing w:before="0" w:after="283"/>
              <w:jc w:val="left"/>
              <w:rPr/>
            </w:pPr>
            <w:r>
              <w:rPr/>
              <w:t> </w:t>
            </w:r>
            <w:bookmarkStart w:id="965" w:name="xdx_40E_eus-gaap--ShortTermLeaseCost_pn3"/>
            <w:bookmarkEnd w:id="965"/>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Short-term lease expense </w:t>
            </w:r>
            <w:bookmarkStart w:id="966" w:name="xdx_F4D_zCJkMNWwmuPf"/>
            <w:bookmarkEnd w:id="966"/>
            <w:r>
              <w:rPr>
                <w:rFonts w:ascii="Times New Roman;Times;Serif" w:hAnsi="Times New Roman;Times;Serif"/>
              </w:rPr>
              <w:t>(i)</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75" w:type="dxa"/>
            <w:tcBorders/>
            <w:shd w:fill="CCEEFF" w:val="clear"/>
            <w:vAlign w:val="center"/>
          </w:tcPr>
          <w:p>
            <w:pPr>
              <w:pStyle w:val="TableContents"/>
              <w:bidi w:val="0"/>
              <w:spacing w:before="0" w:after="283"/>
              <w:jc w:val="left"/>
              <w:rPr/>
            </w:pPr>
            <w:r>
              <w:rPr/>
              <w:t> </w:t>
            </w:r>
            <w:bookmarkStart w:id="967" w:name="xdx_40C_eus-gaap--LeaseCost_iT_pn3n3_mtL"/>
            <w:bookmarkEnd w:id="967"/>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lease cost</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939</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60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215"/>
        <w:gridCol w:w="23"/>
        <w:gridCol w:w="3740"/>
      </w:tblGrid>
      <w:tr>
        <w:trPr/>
        <w:tc>
          <w:tcPr>
            <w:tcW w:w="215" w:type="dxa"/>
            <w:tcBorders/>
            <w:vAlign w:val="center"/>
          </w:tcPr>
          <w:p>
            <w:pPr>
              <w:pStyle w:val="TableContents"/>
              <w:bidi w:val="0"/>
              <w:spacing w:before="0" w:after="283"/>
              <w:jc w:val="right"/>
              <w:rPr>
                <w:rFonts w:ascii="Times New Roman;Times;Serif" w:hAnsi="Times New Roman;Times;Serif"/>
                <w:sz w:val="20"/>
              </w:rPr>
            </w:pPr>
            <w:bookmarkStart w:id="968" w:name="xdx_F05_zAh57uJCVw38"/>
            <w:bookmarkEnd w:id="968"/>
            <w:r>
              <w:rPr>
                <w:rFonts w:ascii="Times New Roman;Times;Serif" w:hAnsi="Times New Roman;Times;Serif"/>
                <w:sz w:val="20"/>
              </w:rPr>
              <w:t>(i)</w:t>
            </w:r>
          </w:p>
        </w:tc>
        <w:tc>
          <w:tcPr>
            <w:tcW w:w="23"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both"/>
              <w:rPr>
                <w:rFonts w:ascii="Times New Roman;Times;Serif" w:hAnsi="Times New Roman;Times;Serif"/>
                <w:sz w:val="20"/>
              </w:rPr>
            </w:pPr>
            <w:bookmarkStart w:id="969" w:name="xdx_F12_zEpO4m0zX2al"/>
            <w:bookmarkEnd w:id="969"/>
            <w:r>
              <w:rPr>
                <w:rFonts w:ascii="Times New Roman;Times;Serif" w:hAnsi="Times New Roman;Times;Serif"/>
                <w:sz w:val="20"/>
              </w:rPr>
              <w:t>Includes leases with a term of one year or less.</w:t>
            </w:r>
          </w:p>
        </w:tc>
      </w:tr>
    </w:tbl>
    <w:p>
      <w:pPr>
        <w:pStyle w:val="TextBody"/>
        <w:bidi w:val="0"/>
        <w:spacing w:before="0" w:after="0"/>
        <w:ind w:left="600" w:right="0" w:hanging="0"/>
        <w:jc w:val="both"/>
        <w:rPr>
          <w:caps w:val="false"/>
          <w:smallCaps w:val="false"/>
        </w:rPr>
      </w:pPr>
      <w:bookmarkStart w:id="970" w:name="xdx_8A2_zB8J2T87Xlml"/>
      <w:bookmarkEnd w:id="970"/>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71" w:name="xdx_895_ecustom--SupplementalCashFlowInf"/>
      <w:bookmarkEnd w:id="971"/>
      <w:r>
        <w:rPr>
          <w:rFonts w:ascii="Times New Roman;Times;Serif" w:hAnsi="Times New Roman;Times;Serif"/>
          <w:b w:val="false"/>
          <w:i w:val="false"/>
          <w:caps w:val="false"/>
          <w:smallCaps w:val="false"/>
          <w:sz w:val="20"/>
        </w:rPr>
        <w:t>Supplemental cash flow information for leases was as follows:</w:t>
      </w:r>
    </w:p>
    <w:p>
      <w:pPr>
        <w:pStyle w:val="TextBody"/>
        <w:bidi w:val="0"/>
        <w:spacing w:before="0" w:after="0"/>
        <w:ind w:left="0" w:right="0" w:hanging="0"/>
        <w:jc w:val="left"/>
        <w:rPr>
          <w:caps w:val="false"/>
          <w:smallCaps w:val="false"/>
        </w:rPr>
      </w:pPr>
      <w:r>
        <w:rPr>
          <w:caps w:val="false"/>
          <w:smallCaps w:val="false"/>
        </w:rPr>
        <w:t> </w:t>
      </w:r>
      <w:bookmarkStart w:id="972" w:name="xdx_8BF_zdH5DlajUnQ6"/>
      <w:bookmarkEnd w:id="972"/>
      <w:r>
        <w:rPr>
          <w:rFonts w:ascii="Times New Roman;Times;Serif" w:hAnsi="Times New Roman;Times;Serif"/>
          <w:b w:val="false"/>
          <w:i w:val="false"/>
          <w:caps w:val="false"/>
          <w:smallCaps w:val="false"/>
          <w:sz w:val="20"/>
        </w:rPr>
        <w:t>SUMMARY OF SUPPLEMENTAL CASH FLOW INFORMATION FOR LEASES</w:t>
      </w:r>
    </w:p>
    <w:tbl>
      <w:tblPr>
        <w:tblW w:w="7505" w:type="dxa"/>
        <w:jc w:val="left"/>
        <w:tblInd w:w="0" w:type="dxa"/>
        <w:tblLayout w:type="fixed"/>
        <w:tblCellMar>
          <w:top w:w="0" w:type="dxa"/>
          <w:left w:w="0" w:type="dxa"/>
          <w:bottom w:w="0" w:type="dxa"/>
          <w:right w:w="0" w:type="dxa"/>
        </w:tblCellMar>
      </w:tblPr>
      <w:tblGrid>
        <w:gridCol w:w="4610"/>
        <w:gridCol w:w="60"/>
        <w:gridCol w:w="165"/>
        <w:gridCol w:w="1050"/>
        <w:gridCol w:w="165"/>
        <w:gridCol w:w="165"/>
        <w:gridCol w:w="165"/>
        <w:gridCol w:w="1050"/>
        <w:gridCol w:w="75"/>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cash flows relating to operating leases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bookmarkStart w:id="973" w:name="xdx_980_eus-gaap--OperatingLeasePayments"/>
            <w:bookmarkEnd w:id="973"/>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bookmarkStart w:id="974" w:name="xdx_98B_eus-gaap--OperatingLeasePayments"/>
            <w:bookmarkEnd w:id="974"/>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both"/>
        <w:rPr>
          <w:caps w:val="false"/>
          <w:smallCaps w:val="false"/>
        </w:rPr>
      </w:pPr>
      <w:bookmarkStart w:id="975" w:name="xdx_8A5_z8ID14kukGCk"/>
      <w:bookmarkEnd w:id="975"/>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76" w:name="xdx_893_eus-gaap--LesseeOperatingLeaseLi"/>
      <w:bookmarkEnd w:id="976"/>
      <w:r>
        <w:rPr>
          <w:rFonts w:ascii="Times New Roman;Times;Serif" w:hAnsi="Times New Roman;Times;Serif"/>
          <w:b w:val="false"/>
          <w:i w:val="false"/>
          <w:caps w:val="false"/>
          <w:smallCaps w:val="false"/>
          <w:sz w:val="20"/>
        </w:rPr>
        <w:t>As of June 30, 2026, the aggregate future minimum rental payments under non-cancelable agreement were as follows:</w:t>
      </w:r>
    </w:p>
    <w:p>
      <w:pPr>
        <w:pStyle w:val="TextBody"/>
        <w:bidi w:val="0"/>
        <w:spacing w:before="0" w:after="0"/>
        <w:ind w:left="600" w:right="0" w:hanging="0"/>
        <w:jc w:val="both"/>
        <w:rPr>
          <w:caps w:val="false"/>
          <w:smallCaps w:val="false"/>
        </w:rPr>
      </w:pPr>
      <w:r>
        <w:rPr>
          <w:caps w:val="false"/>
          <w:smallCaps w:val="false"/>
        </w:rPr>
        <w:t> </w:t>
      </w:r>
      <w:bookmarkStart w:id="977" w:name="xdx_8B7_zwjshy4cLdAi"/>
      <w:bookmarkEnd w:id="977"/>
      <w:r>
        <w:rPr>
          <w:rFonts w:ascii="Times New Roman;Times;Serif" w:hAnsi="Times New Roman;Times;Serif"/>
          <w:b w:val="false"/>
          <w:i w:val="false"/>
          <w:caps w:val="false"/>
          <w:smallCaps w:val="false"/>
          <w:sz w:val="20"/>
        </w:rPr>
        <w:t>SUMMARY OF AGGREGATE FUTURE MINIMUM RENTAL PAYMENTS UNDER NON-CANCELABLE AGREEMENT</w:t>
      </w:r>
    </w:p>
    <w:tbl>
      <w:tblPr>
        <w:tblW w:w="6825" w:type="dxa"/>
        <w:jc w:val="left"/>
        <w:tblInd w:w="0" w:type="dxa"/>
        <w:tblLayout w:type="fixed"/>
        <w:tblCellMar>
          <w:top w:w="0" w:type="dxa"/>
          <w:left w:w="0" w:type="dxa"/>
          <w:bottom w:w="28" w:type="dxa"/>
          <w:right w:w="0" w:type="dxa"/>
        </w:tblCellMar>
      </w:tblPr>
      <w:tblGrid>
        <w:gridCol w:w="6065"/>
        <w:gridCol w:w="60"/>
        <w:gridCol w:w="80"/>
        <w:gridCol w:w="510"/>
        <w:gridCol w:w="110"/>
      </w:tblGrid>
      <w:tr>
        <w:trPr/>
        <w:tc>
          <w:tcPr>
            <w:tcW w:w="6065"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978" w:name="xdx_493_20260630_zjOiXxsCxnk1"/>
            <w:bookmarkEnd w:id="978"/>
          </w:p>
        </w:tc>
        <w:tc>
          <w:tcPr>
            <w:tcW w:w="5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tcMar>
              <w:bottom w:w="0" w:type="dxa"/>
            </w:tcMar>
            <w:vAlign w:val="center"/>
          </w:tcPr>
          <w:p>
            <w:pPr>
              <w:pStyle w:val="TableContents"/>
              <w:bidi w:val="0"/>
              <w:spacing w:before="0" w:after="283"/>
              <w:jc w:val="left"/>
              <w:rPr/>
            </w:pPr>
            <w:r>
              <w:rPr/>
              <w:t> </w:t>
            </w:r>
            <w:bookmarkStart w:id="979" w:name="xdx_401_eus-gaap--LesseeOperatingLeaseLi"/>
            <w:bookmarkEnd w:id="979"/>
          </w:p>
        </w:tc>
      </w:tr>
      <w:tr>
        <w:trPr/>
        <w:tc>
          <w:tcPr>
            <w:tcW w:w="60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in fiscal year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110" w:type="dxa"/>
            <w:tcBorders/>
            <w:shd w:fill="CCEEFF" w:val="clear"/>
            <w:tcMar>
              <w:bottom w:w="0" w:type="dxa"/>
            </w:tcMar>
            <w:vAlign w:val="center"/>
          </w:tcPr>
          <w:p>
            <w:pPr>
              <w:pStyle w:val="TableContents"/>
              <w:bidi w:val="0"/>
              <w:spacing w:before="0" w:after="283"/>
              <w:jc w:val="left"/>
              <w:rPr/>
            </w:pPr>
            <w:r>
              <w:rPr/>
              <w:t> </w:t>
            </w:r>
            <w:bookmarkStart w:id="980" w:name="xdx_40D_eus-gaap--LesseeOperatingLeaseLi"/>
            <w:bookmarkEnd w:id="980"/>
          </w:p>
        </w:tc>
      </w:tr>
      <w:tr>
        <w:trPr/>
        <w:tc>
          <w:tcPr>
            <w:tcW w:w="60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110" w:type="dxa"/>
            <w:tcBorders/>
            <w:shd w:fill="FFFFFF" w:val="clear"/>
            <w:tcMar>
              <w:bottom w:w="0" w:type="dxa"/>
            </w:tcMar>
            <w:vAlign w:val="center"/>
          </w:tcPr>
          <w:p>
            <w:pPr>
              <w:pStyle w:val="TableContents"/>
              <w:bidi w:val="0"/>
              <w:spacing w:before="0" w:after="283"/>
              <w:jc w:val="left"/>
              <w:rPr/>
            </w:pPr>
            <w:r>
              <w:rPr/>
              <w:t> </w:t>
            </w:r>
            <w:bookmarkStart w:id="981" w:name="xdx_405_eus-gaap--LesseeOperatingLeaseLi"/>
            <w:bookmarkEnd w:id="981"/>
          </w:p>
        </w:tc>
      </w:tr>
      <w:tr>
        <w:trPr/>
        <w:tc>
          <w:tcPr>
            <w:tcW w:w="60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110" w:type="dxa"/>
            <w:tcBorders/>
            <w:shd w:fill="CCEEFF" w:val="clear"/>
            <w:tcMar>
              <w:bottom w:w="0" w:type="dxa"/>
            </w:tcMar>
            <w:vAlign w:val="center"/>
          </w:tcPr>
          <w:p>
            <w:pPr>
              <w:pStyle w:val="TableContents"/>
              <w:bidi w:val="0"/>
              <w:spacing w:before="0" w:after="283"/>
              <w:jc w:val="left"/>
              <w:rPr/>
            </w:pPr>
            <w:r>
              <w:rPr/>
              <w:t> </w:t>
            </w:r>
            <w:bookmarkStart w:id="982" w:name="xdx_403_eus-gaap--LesseeOperatingLeaseLi"/>
            <w:bookmarkEnd w:id="982"/>
          </w:p>
        </w:tc>
      </w:tr>
      <w:tr>
        <w:trPr/>
        <w:tc>
          <w:tcPr>
            <w:tcW w:w="606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future minimum rental 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714</w:t>
            </w:r>
          </w:p>
        </w:tc>
        <w:tc>
          <w:tcPr>
            <w:tcW w:w="110" w:type="dxa"/>
            <w:tcBorders/>
            <w:shd w:fill="FFFFFF" w:val="clear"/>
            <w:tcMar>
              <w:bottom w:w="0" w:type="dxa"/>
            </w:tcMar>
            <w:vAlign w:val="center"/>
          </w:tcPr>
          <w:p>
            <w:pPr>
              <w:pStyle w:val="TableContents"/>
              <w:bidi w:val="0"/>
              <w:spacing w:before="0" w:after="283"/>
              <w:jc w:val="left"/>
              <w:rPr/>
            </w:pPr>
            <w:r>
              <w:rPr/>
              <w:t> </w:t>
            </w:r>
            <w:bookmarkStart w:id="983" w:name="xdx_40A_eus-gaap--LesseeOperatingLeaseLi"/>
            <w:bookmarkEnd w:id="983"/>
          </w:p>
        </w:tc>
      </w:tr>
      <w:tr>
        <w:trPr/>
        <w:tc>
          <w:tcPr>
            <w:tcW w:w="60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amount representing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84" w:name="xdx_40E_eus-gaap--OperatingLeaseLiabilit"/>
            <w:bookmarkEnd w:id="984"/>
          </w:p>
        </w:tc>
      </w:tr>
      <w:tr>
        <w:trPr/>
        <w:tc>
          <w:tcPr>
            <w:tcW w:w="606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Present value of future minimum rental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51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w:t>
            </w:r>
          </w:p>
        </w:tc>
        <w:tc>
          <w:tcPr>
            <w:tcW w:w="110" w:type="dxa"/>
            <w:tcBorders/>
            <w:shd w:fill="FFFFFF" w:val="clear"/>
            <w:tcMar>
              <w:bottom w:w="0" w:type="dxa"/>
            </w:tcMar>
            <w:vAlign w:val="center"/>
          </w:tcPr>
          <w:p>
            <w:pPr>
              <w:pStyle w:val="TableContents"/>
              <w:bidi w:val="0"/>
              <w:spacing w:before="0" w:after="283"/>
              <w:jc w:val="left"/>
              <w:rPr/>
            </w:pPr>
            <w:r>
              <w:rPr/>
              <w:t> </w:t>
            </w:r>
            <w:bookmarkStart w:id="985" w:name="xdx_40E_eus-gaap--OperatingLeaseLiabilit"/>
            <w:bookmarkEnd w:id="985"/>
          </w:p>
        </w:tc>
      </w:tr>
      <w:tr>
        <w:trPr/>
        <w:tc>
          <w:tcPr>
            <w:tcW w:w="60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 recorded in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110" w:type="dxa"/>
            <w:tcBorders/>
            <w:shd w:fill="CCEEFF" w:val="clear"/>
            <w:tcMar>
              <w:bottom w:w="0" w:type="dxa"/>
            </w:tcMar>
            <w:vAlign w:val="center"/>
          </w:tcPr>
          <w:p>
            <w:pPr>
              <w:pStyle w:val="TableContents"/>
              <w:bidi w:val="0"/>
              <w:spacing w:before="0" w:after="283"/>
              <w:jc w:val="left"/>
              <w:rPr/>
            </w:pPr>
            <w:r>
              <w:rPr/>
              <w:t> </w:t>
            </w:r>
            <w:bookmarkStart w:id="986" w:name="xdx_403_eus-gaap--OperatingLeaseLiabilit"/>
            <w:bookmarkEnd w:id="986"/>
          </w:p>
        </w:tc>
      </w:tr>
      <w:tr>
        <w:trPr/>
        <w:tc>
          <w:tcPr>
            <w:tcW w:w="60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lease liabilities, recorded in other long-term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FFFFFF" w:val="clear"/>
            <w:vAlign w:val="center"/>
          </w:tcPr>
          <w:p>
            <w:pPr>
              <w:pStyle w:val="TableContents"/>
              <w:bidi w:val="0"/>
              <w:spacing w:before="0" w:after="283"/>
              <w:jc w:val="left"/>
              <w:rPr/>
            </w:pPr>
            <w:r>
              <w:rPr/>
              <w:t> </w:t>
            </w:r>
          </w:p>
        </w:tc>
        <w:tc>
          <w:tcPr>
            <w:tcW w:w="5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600" w:right="0" w:hanging="0"/>
        <w:jc w:val="both"/>
        <w:rPr>
          <w:caps w:val="false"/>
          <w:smallCaps w:val="false"/>
        </w:rPr>
      </w:pPr>
      <w:bookmarkStart w:id="987" w:name="xdx_8A4_zQun32avu3Hd"/>
      <w:bookmarkEnd w:id="987"/>
      <w:r>
        <w:rPr>
          <w:caps w:val="false"/>
          <w:smallCaps w:val="false"/>
        </w:rPr>
        <w:t> </w:t>
      </w:r>
    </w:p>
    <w:p>
      <w:pPr>
        <w:pStyle w:val="TextBody"/>
        <w:bidi w:val="0"/>
        <w:spacing w:before="0" w:after="0"/>
        <w:ind w:left="600" w:right="0" w:hanging="0"/>
        <w:jc w:val="both"/>
        <w:rPr>
          <w:caps w:val="false"/>
          <w:smallCaps w:val="false"/>
        </w:rPr>
      </w:pPr>
      <w:bookmarkStart w:id="988" w:name="xdx_80A_eus-gaap--CommitmentsAndContinge"/>
      <w:bookmarkEnd w:id="988"/>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3710" w:type="dxa"/>
            <w:tcBorders/>
            <w:vAlign w:val="center"/>
          </w:tcPr>
          <w:p>
            <w:pPr>
              <w:pStyle w:val="TableContents"/>
              <w:bidi w:val="0"/>
              <w:spacing w:before="0" w:after="283"/>
              <w:jc w:val="both"/>
              <w:rPr>
                <w:rFonts w:ascii="Times New Roman;Times;Serif" w:hAnsi="Times New Roman;Times;Serif"/>
                <w:b/>
                <w:sz w:val="20"/>
              </w:rPr>
            </w:pPr>
            <w:bookmarkStart w:id="989" w:name="xdx_825_zqOnobJ8J8i3"/>
            <w:bookmarkEnd w:id="989"/>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60"/>
        <w:gridCol w:w="248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248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 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operating commitments mainly consist of the short-term lease commitments and leases that have not yet commenced but that create significant rights and obligations for the Company, which are not included in operating lease right-of–use assets and lease liabilities. As of June 30, 2026, there were </w:t>
      </w:r>
      <w:bookmarkStart w:id="990" w:name="xdx_907_ecustom--LesseeOperatingLeaseLia"/>
      <w:bookmarkEnd w:id="990"/>
      <w:r>
        <w:rPr>
          <w:rFonts w:ascii="Times New Roman;Times;Serif" w:hAnsi="Times New Roman;Times;Serif"/>
          <w:b w:val="false"/>
          <w:i w:val="false"/>
          <w:caps w:val="false"/>
          <w:smallCaps w:val="false"/>
          <w:sz w:val="20"/>
        </w:rPr>
        <w:t>no future minimum commitments under non-cancelable agreements.</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60"/>
        <w:gridCol w:w="257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257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and other commitment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991" w:name="xdx_89C_ecustom--ScheduleOfCapitalAndOth"/>
      <w:bookmarkEnd w:id="991"/>
      <w:r>
        <w:rPr>
          <w:rFonts w:ascii="Times New Roman;Times;Serif" w:hAnsi="Times New Roman;Times;Serif"/>
          <w:b w:val="false"/>
          <w:i w:val="false"/>
          <w:caps w:val="false"/>
          <w:smallCaps w:val="false"/>
          <w:sz w:val="20"/>
        </w:rPr>
        <w:t>Capital expenditures contracted for at the balance sheet dates but not recognized in the unaudited condensed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bookmarkStart w:id="992" w:name="xdx_8BF_zfs6Rhhj67j"/>
      <w:bookmarkEnd w:id="992"/>
      <w:r>
        <w:rPr>
          <w:rFonts w:ascii="Times New Roman;Times;Serif" w:hAnsi="Times New Roman;Times;Serif"/>
          <w:b w:val="false"/>
          <w:i w:val="false"/>
          <w:caps w:val="false"/>
          <w:smallCaps w:val="false"/>
          <w:sz w:val="20"/>
        </w:rPr>
        <w:t>SUMMARY OF CAPITAL AND OTHER COMMITMENT</w:t>
      </w:r>
    </w:p>
    <w:tbl>
      <w:tblPr>
        <w:tblW w:w="6658" w:type="dxa"/>
        <w:jc w:val="left"/>
        <w:tblInd w:w="0" w:type="dxa"/>
        <w:tblLayout w:type="fixed"/>
        <w:tblCellMar>
          <w:top w:w="0" w:type="dxa"/>
          <w:left w:w="0" w:type="dxa"/>
          <w:bottom w:w="0" w:type="dxa"/>
          <w:right w:w="0" w:type="dxa"/>
        </w:tblCellMar>
      </w:tblPr>
      <w:tblGrid>
        <w:gridCol w:w="2945"/>
        <w:gridCol w:w="60"/>
        <w:gridCol w:w="161"/>
        <w:gridCol w:w="1838"/>
        <w:gridCol w:w="60"/>
        <w:gridCol w:w="60"/>
        <w:gridCol w:w="84"/>
        <w:gridCol w:w="1375"/>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3" w:name="xdx_49E_20251231_zKQ3Uawh0nw1"/>
            <w:bookmarkEnd w:id="993"/>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4" w:name="xdx_49A_20260630_z7jsE2BecxU2"/>
            <w:bookmarkEnd w:id="994"/>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center"/>
              <w:rPr/>
            </w:pPr>
            <w:r>
              <w:rPr/>
              <w:t> </w:t>
            </w:r>
          </w:p>
        </w:tc>
        <w:tc>
          <w:tcPr>
            <w:tcW w:w="183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4" w:type="dxa"/>
            <w:tcBorders/>
            <w:shd w:fill="FFFFFF" w:val="clear"/>
            <w:vAlign w:val="center"/>
          </w:tcPr>
          <w:p>
            <w:pPr>
              <w:pStyle w:val="TableContents"/>
              <w:bidi w:val="0"/>
              <w:spacing w:before="0" w:after="283"/>
              <w:jc w:val="center"/>
              <w:rPr/>
            </w:pPr>
            <w:r>
              <w:rPr/>
              <w:t> </w:t>
            </w:r>
          </w:p>
        </w:tc>
        <w:tc>
          <w:tcPr>
            <w:tcW w:w="137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shd w:fill="FFFFFF" w:val="clear"/>
            <w:vAlign w:val="center"/>
          </w:tcPr>
          <w:p>
            <w:pPr>
              <w:pStyle w:val="TableContents"/>
              <w:bidi w:val="0"/>
              <w:spacing w:before="0" w:after="283"/>
              <w:jc w:val="center"/>
              <w:rPr/>
            </w:pPr>
            <w:r>
              <w:rPr/>
              <w:t> </w:t>
            </w:r>
          </w:p>
        </w:tc>
      </w:tr>
      <w:tr>
        <w:trPr/>
        <w:tc>
          <w:tcPr>
            <w:tcW w:w="29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75" w:type="dxa"/>
            <w:tcBorders/>
            <w:shd w:fill="FFFFFF" w:val="clear"/>
            <w:vAlign w:val="center"/>
          </w:tcPr>
          <w:p>
            <w:pPr>
              <w:pStyle w:val="TableContents"/>
              <w:bidi w:val="0"/>
              <w:spacing w:before="0" w:after="283"/>
              <w:jc w:val="left"/>
              <w:rPr/>
            </w:pPr>
            <w:r>
              <w:rPr/>
              <w:t> </w:t>
            </w:r>
            <w:bookmarkStart w:id="995" w:name="xdx_400_eus-gaap--OtherCommitment_iI_pn3"/>
            <w:bookmarkEnd w:id="995"/>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8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600" w:right="0" w:hanging="0"/>
        <w:jc w:val="both"/>
        <w:rPr>
          <w:caps w:val="false"/>
          <w:smallCaps w:val="false"/>
        </w:rPr>
      </w:pPr>
      <w:bookmarkStart w:id="996" w:name="xdx_8A8_zyQGEUZyw3n2"/>
      <w:bookmarkEnd w:id="996"/>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45"/>
        <w:gridCol w:w="1565"/>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56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likely to have a material adverse effect on the Group’s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litigation is subject to inherent uncertainties and the Group’s view of these matters may change in the future. If an unfavorable outcome were to occur, there exists the possibility of a material adverse impact on the Group’s financial position and results of operations for the periods in which the unfavorable outcome occurs.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bookmarkStart w:id="997" w:name="xdx_80D_eus-gaap--RestrictedAssetsDisclo"/>
      <w:bookmarkEnd w:id="997"/>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2510" w:type="dxa"/>
            <w:tcBorders/>
            <w:vAlign w:val="center"/>
          </w:tcPr>
          <w:p>
            <w:pPr>
              <w:pStyle w:val="TableContents"/>
              <w:bidi w:val="0"/>
              <w:spacing w:before="0" w:after="283"/>
              <w:jc w:val="both"/>
              <w:rPr>
                <w:rFonts w:ascii="Times New Roman;Times;Serif" w:hAnsi="Times New Roman;Times;Serif"/>
                <w:b/>
                <w:sz w:val="20"/>
              </w:rPr>
            </w:pPr>
            <w:bookmarkStart w:id="998" w:name="xdx_82A_zy7sJgIEa0pg"/>
            <w:bookmarkEnd w:id="998"/>
            <w:r>
              <w:rPr>
                <w:rFonts w:ascii="Times New Roman;Times;Serif" w:hAnsi="Times New Roman;Times;Serif"/>
                <w:b/>
                <w:sz w:val="20"/>
              </w:rPr>
              <w:t>RESTRICTED NET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PRC laws and regulations permit payments of dividends by the Group’s entities incorporated in the PRC only out of their retained earnings, if any, as determined in accordance with PRC accounting standards and regulations. In addition, the Company’s entities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Company’s entities incorporated in the PRC are restricted in their ability to transfer a portion of their net assets to the Company either in the form of dividends, loans or advances, which restricted portion amounted to RMB</w:t>
      </w:r>
      <w:bookmarkStart w:id="999" w:name="xdx_90A_eus-gaap--AmountOfRestrictedNetA"/>
      <w:bookmarkEnd w:id="999"/>
      <w:r>
        <w:rPr>
          <w:rFonts w:ascii="Times New Roman;Times;Serif" w:hAnsi="Times New Roman;Times;Serif"/>
          <w:b w:val="false"/>
          <w:i w:val="false"/>
          <w:caps w:val="false"/>
          <w:smallCaps w:val="false"/>
          <w:sz w:val="20"/>
        </w:rPr>
        <w:t>653,035 and RMB</w:t>
      </w:r>
      <w:bookmarkStart w:id="1000" w:name="xdx_90F_eus-gaap--AmountOfRestrictedNetA"/>
      <w:bookmarkEnd w:id="1000"/>
      <w:r>
        <w:rPr>
          <w:rFonts w:ascii="Times New Roman;Times;Serif" w:hAnsi="Times New Roman;Times;Serif"/>
          <w:b w:val="false"/>
          <w:i w:val="false"/>
          <w:caps w:val="false"/>
          <w:smallCaps w:val="false"/>
          <w:sz w:val="20"/>
        </w:rPr>
        <w:t>623,920 as of December 31, 2025 and June 30, 2026.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there is no other restriction on use of proceeds generated by the Group’s subsidiaries and VIEs to satisfy any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performed a test on the restricted net assets of subsidiaries and VIEs in accordance with Securities and Exchange Commission Regulation S-X Rule 4-08 (e) (3), “General Notes to Financial Statements” and concluded that the restricted net assets exceed 25% of the consolidated net assets of the Company as of June 30, 2026 and the condensed financial information of the Company are required to be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transfers from the Company’s PRC subsidiaries to their parent companies outside of China are subject to PRC government control of currency conversion. Shortages in the availability of foreign currency may temporarily restrict the ability of the PRC subsidiaries and VIEs and their subsidiaries to remit sufficient foreign currency to pay dividends or other payments to the Company, or otherwise satisfy their foreign currency denominated obligation.</w:t>
      </w:r>
    </w:p>
    <w:p>
      <w:pPr>
        <w:pStyle w:val="TextBody"/>
        <w:bidi w:val="0"/>
        <w:spacing w:before="0" w:after="0"/>
        <w:ind w:left="0" w:right="0" w:hanging="0"/>
        <w:jc w:val="left"/>
        <w:rPr>
          <w:caps w:val="false"/>
          <w:smallCaps w:val="false"/>
        </w:rPr>
      </w:pPr>
      <w:bookmarkStart w:id="1001" w:name="xdx_801_eus-gaap--SubsequentEventsTextBl"/>
      <w:bookmarkEnd w:id="1001"/>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90"/>
        <w:gridCol w:w="20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002" w:name="xdx_824_zScH0PBcBMI9"/>
            <w:bookmarkEnd w:id="1002"/>
            <w:r>
              <w:rPr>
                <w:rFonts w:ascii="Times New Roman;Times;Serif" w:hAnsi="Times New Roman;Times;Serif"/>
                <w:b/>
                <w:i w:val="false"/>
                <w:caps w:val="false"/>
                <w:smallCaps w:val="false"/>
                <w:sz w:val="20"/>
              </w:rPr>
              <w:t>SUBSEQUENT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the impact of events that have occurred subsequent to June 30, 2026, through September 30, 2026, the issuance date of the unaudited condensed consolidated financial statements, and concluded that no subsequent events have occurred that would require recognition in the unaudited condensed consolidated financial statements or disclosure in the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ind w:left="0" w:right="0" w:hanging="0"/>
        <w:jc w:val="left"/>
        <w:rPr>
          <w:caps w:val="false"/>
          <w:smallCaps w:val="false"/>
        </w:rPr>
      </w:pPr>
      <w:bookmarkStart w:id="1003" w:name="xdx_803_eus-gaap--CondensedFinancialInfo"/>
      <w:bookmarkEnd w:id="1003"/>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90"/>
        <w:gridCol w:w="768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685" w:type="dxa"/>
            <w:tcBorders/>
            <w:vAlign w:val="center"/>
          </w:tcPr>
          <w:p>
            <w:pPr>
              <w:pStyle w:val="TableContents"/>
              <w:bidi w:val="0"/>
              <w:spacing w:before="0" w:after="283"/>
              <w:jc w:val="both"/>
              <w:rPr>
                <w:rFonts w:ascii="Times New Roman;Times;Serif" w:hAnsi="Times New Roman;Times;Serif"/>
                <w:b/>
                <w:sz w:val="20"/>
              </w:rPr>
            </w:pPr>
            <w:bookmarkStart w:id="1004" w:name="xdx_82A_z8OSvzMzgmuh"/>
            <w:bookmarkEnd w:id="1004"/>
            <w:r>
              <w:rPr>
                <w:rFonts w:ascii="Times New Roman;Times;Serif" w:hAnsi="Times New Roman;Times;Serif"/>
                <w:b/>
                <w:sz w:val="20"/>
              </w:rPr>
              <w:t>UNAUDITED CONDENSED FINANCIAL INFORMATION OF THE PARENT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Rule 12-04(a), 5-04(c) and 4-08(e)(3) of Regulation S-X, the condensed financial information of the parent company shall be filed when the restricted net assets of consolidated subsidiaries exceed 25 percent of consolidated net assets as of the end of the most recently completed fiscal year. The Group performed a test on the restricted net assets of consolidated subsidiaries in accordance with such requirement and concluded that it was applicable to the Company as the restricted net assets of the Company’s PRC subsidiaries exceeded 25% of the consolidated net assets of the Company. Therefore, the condensed financial statements for the parent company are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financial information of the parent company has been prepared using the same accounting policies as set out in the Company’s unaudited condensed consolidated financial statements except that the parent company used the equity method to account for investment in its subsidiaries. Such investment is presented on the condensed balance sheets as “Investment in subsidiaries/VIEs” and the respective profit or loss as “Equity in (loss) gain of subsidiaries/VIEs” on the condensed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footnote disclosures contain supplemental information relating to the operations of the Company and, as such, these statements should be read in conjunction with the notes to the unaudited condensed consolidated financial statements of the Company. Certain information and footnote disclosures normally included in financial statements prepared in accordance with U.S GAAP have been condensed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pay any dividend for the periods presented. As of December 31, 2025 and June 30, 2026, there were no material contingencies, significant provisions for long-term obligations, or guarantees of the Company, except for those which have been separately disclosed in the unaudited condensed consolidated financial statements, if any.</w:t>
      </w:r>
    </w:p>
    <w:p>
      <w:pPr>
        <w:pStyle w:val="TextBody"/>
        <w:bidi w:val="0"/>
        <w:spacing w:before="0" w:after="0"/>
        <w:ind w:left="0" w:right="0" w:hanging="0"/>
        <w:jc w:val="left"/>
        <w:rPr>
          <w:caps w:val="false"/>
          <w:smallCaps w:val="false"/>
        </w:rPr>
      </w:pPr>
      <w:bookmarkStart w:id="1005" w:name="xdx_898_esrt--ScheduleOfCondensedFinanci"/>
      <w:bookmarkEnd w:id="1005"/>
      <w:r>
        <w:rPr>
          <w:caps w:val="false"/>
          <w:smallCaps w:val="false"/>
        </w:rPr>
        <w:t> </w:t>
      </w:r>
      <w:bookmarkStart w:id="1006" w:name="xdx_8B3_zebLhDXVpxof"/>
      <w:bookmarkEnd w:id="1006"/>
      <w:r>
        <w:rPr>
          <w:rFonts w:ascii="Times New Roman;Times;Serif" w:hAnsi="Times New Roman;Times;Serif"/>
          <w:b w:val="false"/>
          <w:i w:val="false"/>
          <w:caps w:val="false"/>
          <w:smallCaps w:val="false"/>
          <w:sz w:val="20"/>
        </w:rPr>
        <w:t>SUMMARY OF UNAUDITED CONDENSED CONSOLIDATED FINANCIAL STATEMENTS</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PARENT COMPANY BALANCE SHEETS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07" w:name="xdx_308_134_z575a63MoJj9"/>
      <w:bookmarkStart w:id="1008" w:name="xdx_308_134_z575a63MoJj9"/>
      <w:bookmarkEnd w:id="1008"/>
    </w:p>
    <w:tbl>
      <w:tblPr>
        <w:tblW w:w="10205" w:type="dxa"/>
        <w:jc w:val="left"/>
        <w:tblInd w:w="0" w:type="dxa"/>
        <w:tblLayout w:type="fixed"/>
        <w:tblCellMar>
          <w:top w:w="0" w:type="dxa"/>
          <w:left w:w="0" w:type="dxa"/>
          <w:bottom w:w="0" w:type="dxa"/>
          <w:right w:w="0" w:type="dxa"/>
        </w:tblCellMar>
      </w:tblPr>
      <w:tblGrid>
        <w:gridCol w:w="7330"/>
        <w:gridCol w:w="60"/>
        <w:gridCol w:w="77"/>
        <w:gridCol w:w="1292"/>
        <w:gridCol w:w="95"/>
        <w:gridCol w:w="60"/>
        <w:gridCol w:w="68"/>
        <w:gridCol w:w="1111"/>
        <w:gridCol w:w="112"/>
      </w:tblGrid>
      <w:tr>
        <w:trPr/>
        <w:tc>
          <w:tcPr>
            <w:tcW w:w="7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9" w:name="xdx_495_20251231__srt--ConsolidatedEntit"/>
            <w:bookmarkEnd w:id="1009"/>
          </w:p>
        </w:tc>
        <w:tc>
          <w:tcPr>
            <w:tcW w:w="1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0" w:name="xdx_492_20260630__srt--ConsolidatedEntit"/>
            <w:bookmarkEnd w:id="1010"/>
          </w:p>
        </w:tc>
        <w:tc>
          <w:tcPr>
            <w:tcW w:w="11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112" w:type="dxa"/>
            <w:tcBorders/>
            <w:vAlign w:val="center"/>
          </w:tcPr>
          <w:p>
            <w:pPr>
              <w:pStyle w:val="TableContents"/>
              <w:bidi w:val="0"/>
              <w:spacing w:before="0" w:after="283"/>
              <w:jc w:val="left"/>
              <w:rPr/>
            </w:pPr>
            <w:r>
              <w:rPr/>
              <w:t> </w:t>
            </w:r>
          </w:p>
        </w:tc>
      </w:tr>
      <w:tr>
        <w:trPr/>
        <w:tc>
          <w:tcPr>
            <w:tcW w:w="7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2" w:type="dxa"/>
            <w:tcBorders/>
            <w:vAlign w:val="center"/>
          </w:tcPr>
          <w:p>
            <w:pPr>
              <w:pStyle w:val="TableContents"/>
              <w:bidi w:val="0"/>
              <w:spacing w:before="0" w:after="283"/>
              <w:jc w:val="left"/>
              <w:rPr/>
            </w:pPr>
            <w:r>
              <w:rPr/>
              <w:t> </w:t>
            </w:r>
          </w:p>
        </w:tc>
      </w:tr>
      <w:tr>
        <w:trPr/>
        <w:tc>
          <w:tcPr>
            <w:tcW w:w="7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7" w:type="dxa"/>
            <w:tcBorders/>
            <w:shd w:fill="FFFFFF" w:val="clear"/>
            <w:vAlign w:val="center"/>
          </w:tcPr>
          <w:p>
            <w:pPr>
              <w:pStyle w:val="TableContents"/>
              <w:bidi w:val="0"/>
              <w:spacing w:before="0" w:after="283"/>
              <w:jc w:val="center"/>
              <w:rPr/>
            </w:pPr>
            <w:r>
              <w:rPr/>
              <w:t> </w:t>
            </w:r>
          </w:p>
        </w:tc>
        <w:tc>
          <w:tcPr>
            <w:tcW w:w="1292"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center"/>
              <w:rPr/>
            </w:pPr>
            <w:r>
              <w:rPr/>
              <w:t> </w:t>
            </w:r>
          </w:p>
        </w:tc>
        <w:tc>
          <w:tcPr>
            <w:tcW w:w="1111"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12" w:type="dxa"/>
            <w:tcBorders/>
            <w:shd w:fill="FFFFFF" w:val="clear"/>
            <w:vAlign w:val="center"/>
          </w:tcPr>
          <w:p>
            <w:pPr>
              <w:pStyle w:val="TableContents"/>
              <w:bidi w:val="0"/>
              <w:spacing w:before="0" w:after="283"/>
              <w:jc w:val="center"/>
              <w:rPr/>
            </w:pPr>
            <w:r>
              <w:rPr/>
              <w:t> </w:t>
            </w:r>
          </w:p>
        </w:tc>
      </w:tr>
      <w:tr>
        <w:trPr/>
        <w:tc>
          <w:tcPr>
            <w:tcW w:w="7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112" w:type="dxa"/>
            <w:tcBorders/>
            <w:shd w:fill="FFFFFF" w:val="clear"/>
            <w:vAlign w:val="center"/>
          </w:tcPr>
          <w:p>
            <w:pPr>
              <w:pStyle w:val="TableContents"/>
              <w:bidi w:val="0"/>
              <w:spacing w:before="0" w:after="283"/>
              <w:jc w:val="left"/>
              <w:rPr/>
            </w:pPr>
            <w:r>
              <w:rPr/>
              <w:t> </w:t>
            </w:r>
            <w:bookmarkStart w:id="1011" w:name="xdx_409_eus-gaap--AssetsAbstract_iB_zWgl"/>
            <w:bookmarkEnd w:id="1011"/>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12" w:name="xdx_402_eus-gaap--CashAndCashEquivalents"/>
            <w:bookmarkEnd w:id="1012"/>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2,370</w:t>
            </w:r>
          </w:p>
        </w:tc>
        <w:tc>
          <w:tcPr>
            <w:tcW w:w="112" w:type="dxa"/>
            <w:tcBorders/>
            <w:shd w:fill="FFFFFF" w:val="clear"/>
            <w:vAlign w:val="center"/>
          </w:tcPr>
          <w:p>
            <w:pPr>
              <w:pStyle w:val="TableContents"/>
              <w:bidi w:val="0"/>
              <w:spacing w:before="0" w:after="283"/>
              <w:jc w:val="left"/>
              <w:rPr/>
            </w:pPr>
            <w:r>
              <w:rPr/>
              <w:t> </w:t>
            </w:r>
            <w:bookmarkStart w:id="1013" w:name="xdx_40E_eus-gaap--ShortTermInvestments_i"/>
            <w:bookmarkEnd w:id="1013"/>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w:t>
            </w:r>
          </w:p>
        </w:tc>
        <w:tc>
          <w:tcPr>
            <w:tcW w:w="112" w:type="dxa"/>
            <w:tcBorders/>
            <w:shd w:fill="CCEEFF" w:val="clear"/>
            <w:vAlign w:val="center"/>
          </w:tcPr>
          <w:p>
            <w:pPr>
              <w:pStyle w:val="TableContents"/>
              <w:bidi w:val="0"/>
              <w:spacing w:before="0" w:after="283"/>
              <w:jc w:val="left"/>
              <w:rPr/>
            </w:pPr>
            <w:r>
              <w:rPr/>
              <w:t> </w:t>
            </w:r>
            <w:bookmarkStart w:id="1014" w:name="xdx_40A_ecustom--AmountDueFromGroupCompa"/>
            <w:bookmarkEnd w:id="1014"/>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Group companies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461,878</w:t>
            </w:r>
          </w:p>
        </w:tc>
        <w:tc>
          <w:tcPr>
            <w:tcW w:w="112" w:type="dxa"/>
            <w:tcBorders/>
            <w:shd w:fill="FFFFFF" w:val="clear"/>
            <w:vAlign w:val="center"/>
          </w:tcPr>
          <w:p>
            <w:pPr>
              <w:pStyle w:val="TableContents"/>
              <w:bidi w:val="0"/>
              <w:spacing w:before="0" w:after="283"/>
              <w:jc w:val="left"/>
              <w:rPr/>
            </w:pPr>
            <w:r>
              <w:rPr/>
              <w:t> </w:t>
            </w:r>
            <w:bookmarkStart w:id="1015" w:name="xdx_409_eus-gaap--InvestmentsInAffiliate"/>
            <w:bookmarkEnd w:id="1015"/>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in subsidiaries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455,685</w:t>
            </w:r>
          </w:p>
        </w:tc>
        <w:tc>
          <w:tcPr>
            <w:tcW w:w="112" w:type="dxa"/>
            <w:tcBorders/>
            <w:shd w:fill="CCEEFF" w:val="clear"/>
            <w:vAlign w:val="center"/>
          </w:tcPr>
          <w:p>
            <w:pPr>
              <w:pStyle w:val="TableContents"/>
              <w:bidi w:val="0"/>
              <w:spacing w:before="0" w:after="283"/>
              <w:jc w:val="left"/>
              <w:rPr/>
            </w:pPr>
            <w:r>
              <w:rPr/>
              <w:t> </w:t>
            </w:r>
            <w:bookmarkStart w:id="1016" w:name="xdx_401_eus-gaap--OtherAssets_i02I_pn3n3"/>
            <w:bookmarkEnd w:id="1016"/>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647,738</w:t>
            </w:r>
          </w:p>
        </w:tc>
        <w:tc>
          <w:tcPr>
            <w:tcW w:w="112" w:type="dxa"/>
            <w:tcBorders/>
            <w:shd w:fill="FFFFFF" w:val="clear"/>
            <w:vAlign w:val="center"/>
          </w:tcPr>
          <w:p>
            <w:pPr>
              <w:pStyle w:val="TableContents"/>
              <w:bidi w:val="0"/>
              <w:spacing w:before="0" w:after="283"/>
              <w:jc w:val="left"/>
              <w:rPr/>
            </w:pPr>
            <w:r>
              <w:rPr/>
              <w:t> </w:t>
            </w:r>
            <w:bookmarkStart w:id="1017" w:name="xdx_400_eus-gaap--Assets_iTI_pn3n3_zIWLo"/>
            <w:bookmarkEnd w:id="1017"/>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1,639,015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1,569,879</w:t>
            </w:r>
          </w:p>
        </w:tc>
        <w:tc>
          <w:tcPr>
            <w:tcW w:w="112" w:type="dxa"/>
            <w:tcBorders/>
            <w:shd w:fill="CCEEFF" w:val="clear"/>
            <w:vAlign w:val="center"/>
          </w:tcPr>
          <w:p>
            <w:pPr>
              <w:pStyle w:val="TableContents"/>
              <w:bidi w:val="0"/>
              <w:spacing w:before="0" w:after="283"/>
              <w:jc w:val="left"/>
              <w:rPr/>
            </w:pPr>
            <w:r>
              <w:rPr/>
              <w:t> </w:t>
            </w:r>
          </w:p>
        </w:tc>
      </w:tr>
      <w:tr>
        <w:trPr/>
        <w:tc>
          <w:tcPr>
            <w:tcW w:w="7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18" w:name="xdx_404_eus-gaap--LiabilitiesAbstract_iB"/>
            <w:bookmarkEnd w:id="1018"/>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19" w:name="xdx_40B_eus-gaap--AccountsPayableCurrent"/>
            <w:bookmarkEnd w:id="1019"/>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and notes payable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020" w:name="xdx_401_eus-gaap--AccruedLiabilitiesCurr"/>
            <w:bookmarkEnd w:id="1020"/>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3,727</w:t>
            </w:r>
          </w:p>
        </w:tc>
        <w:tc>
          <w:tcPr>
            <w:tcW w:w="112" w:type="dxa"/>
            <w:tcBorders/>
            <w:shd w:fill="CCEEFF" w:val="clear"/>
            <w:vAlign w:val="center"/>
          </w:tcPr>
          <w:p>
            <w:pPr>
              <w:pStyle w:val="TableContents"/>
              <w:bidi w:val="0"/>
              <w:spacing w:before="0" w:after="283"/>
              <w:jc w:val="left"/>
              <w:rPr/>
            </w:pPr>
            <w:r>
              <w:rPr/>
              <w:t> </w:t>
            </w:r>
            <w:bookmarkStart w:id="1021" w:name="xdx_40E_ecustom--AmountDueToGroupCompani"/>
            <w:bookmarkEnd w:id="1021"/>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Group companies</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112,974</w:t>
            </w:r>
          </w:p>
        </w:tc>
        <w:tc>
          <w:tcPr>
            <w:tcW w:w="112" w:type="dxa"/>
            <w:tcBorders/>
            <w:shd w:fill="FFFFFF" w:val="clear"/>
            <w:vAlign w:val="center"/>
          </w:tcPr>
          <w:p>
            <w:pPr>
              <w:pStyle w:val="TableContents"/>
              <w:bidi w:val="0"/>
              <w:spacing w:before="0" w:after="283"/>
              <w:jc w:val="left"/>
              <w:rPr/>
            </w:pPr>
            <w:r>
              <w:rPr/>
              <w:t> </w:t>
            </w:r>
            <w:bookmarkStart w:id="1022" w:name="xdx_407_eus-gaap--Liabilities_iTI_pn3n3_"/>
            <w:bookmarkEnd w:id="1022"/>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116,701</w:t>
            </w:r>
          </w:p>
        </w:tc>
        <w:tc>
          <w:tcPr>
            <w:tcW w:w="112" w:type="dxa"/>
            <w:tcBorders/>
            <w:shd w:fill="CCEEFF" w:val="clear"/>
            <w:vAlign w:val="center"/>
          </w:tcPr>
          <w:p>
            <w:pPr>
              <w:pStyle w:val="TableContents"/>
              <w:bidi w:val="0"/>
              <w:spacing w:before="0" w:after="283"/>
              <w:jc w:val="left"/>
              <w:rPr/>
            </w:pPr>
            <w:r>
              <w:rPr/>
              <w:t> </w:t>
            </w:r>
            <w:bookmarkStart w:id="1023" w:name="xdx_40D_eus-gaap--StockholdersEquityAbst"/>
            <w:bookmarkEnd w:id="1023"/>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24" w:name="xdx_409_eus-gaap--CommonStockValue_i02I_"/>
            <w:bookmarkEnd w:id="1024"/>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Ordinary Shares (US$</w:t>
            </w:r>
            <w:bookmarkStart w:id="1025" w:name="xdx_908_eus-gaap--CommonStockParOrStated"/>
            <w:bookmarkStart w:id="1026" w:name="xdx_900_eus-gaap--CommonStockParOrStated"/>
            <w:bookmarkEnd w:id="1025"/>
            <w:bookmarkEnd w:id="1026"/>
            <w:r>
              <w:rPr>
                <w:rFonts w:ascii="Times New Roman;Times;Serif" w:hAnsi="Times New Roman;Times;Serif"/>
              </w:rPr>
              <w:t xml:space="preserve">0.00001 par value; </w:t>
            </w:r>
            <w:bookmarkStart w:id="1027" w:name="xdx_903_eus-gaap--CommonStockSharesAutho"/>
            <w:bookmarkStart w:id="1028" w:name="xdx_904_eus-gaap--CommonStockSharesAutho"/>
            <w:bookmarkEnd w:id="1027"/>
            <w:bookmarkEnd w:id="1028"/>
            <w:r>
              <w:rPr>
                <w:rFonts w:ascii="Times New Roman;Times;Serif" w:hAnsi="Times New Roman;Times;Serif"/>
              </w:rPr>
              <w:t xml:space="preserve">4,800,000,000 shares authorized; </w:t>
            </w:r>
            <w:bookmarkStart w:id="1029" w:name="xdx_907_eus-gaap--CommonStockSharesOutst"/>
            <w:bookmarkStart w:id="1030" w:name="xdx_907_eus-gaap--CommonStockSharesIssue"/>
            <w:bookmarkEnd w:id="1029"/>
            <w:bookmarkEnd w:id="1030"/>
            <w:r>
              <w:rPr>
                <w:rFonts w:ascii="Times New Roman;Times;Serif" w:hAnsi="Times New Roman;Times;Serif"/>
              </w:rPr>
              <w:t xml:space="preserve">99,200,641 and </w:t>
            </w:r>
            <w:bookmarkStart w:id="1031" w:name="xdx_90A_eus-gaap--CommonStockSharesOutst"/>
            <w:bookmarkStart w:id="1032" w:name="xdx_90F_eus-gaap--CommonStockSharesIssue"/>
            <w:bookmarkEnd w:id="1031"/>
            <w:bookmarkEnd w:id="1032"/>
            <w:r>
              <w:rPr>
                <w:rFonts w:ascii="Times New Roman;Times;Serif" w:hAnsi="Times New Roman;Times;Serif"/>
              </w:rPr>
              <w:t>95,171,125 shares issued and outstanding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2" w:type="dxa"/>
            <w:tcBorders/>
            <w:shd w:fill="CCEEFF" w:val="clear"/>
            <w:vAlign w:val="center"/>
          </w:tcPr>
          <w:p>
            <w:pPr>
              <w:pStyle w:val="TableContents"/>
              <w:bidi w:val="0"/>
              <w:spacing w:before="0" w:after="283"/>
              <w:jc w:val="left"/>
              <w:rPr/>
            </w:pPr>
            <w:r>
              <w:rPr/>
              <w:t> </w:t>
            </w:r>
            <w:bookmarkStart w:id="1033" w:name="xdx_407_eus-gaap--CommonStockValue_i02I_"/>
            <w:bookmarkEnd w:id="1033"/>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Ordinary Shares (US$</w:t>
            </w:r>
            <w:bookmarkStart w:id="1034" w:name="xdx_90E_eus-gaap--CommonStockParOrStated"/>
            <w:bookmarkStart w:id="1035" w:name="xdx_90A_eus-gaap--CommonStockParOrStated"/>
            <w:bookmarkEnd w:id="1034"/>
            <w:bookmarkEnd w:id="1035"/>
            <w:r>
              <w:rPr>
                <w:rFonts w:ascii="Times New Roman;Times;Serif" w:hAnsi="Times New Roman;Times;Serif"/>
              </w:rPr>
              <w:t xml:space="preserve">0.00001 par value; </w:t>
            </w:r>
            <w:bookmarkStart w:id="1036" w:name="xdx_908_eus-gaap--CommonStockSharesAutho"/>
            <w:bookmarkStart w:id="1037" w:name="xdx_905_eus-gaap--CommonStockSharesAutho"/>
            <w:bookmarkEnd w:id="1036"/>
            <w:bookmarkEnd w:id="1037"/>
            <w:r>
              <w:rPr>
                <w:rFonts w:ascii="Times New Roman;Times;Serif" w:hAnsi="Times New Roman;Times;Serif"/>
              </w:rPr>
              <w:t xml:space="preserve">150,000,000 shares authorized; </w:t>
            </w:r>
            <w:bookmarkStart w:id="1038" w:name="xdx_90C_eus-gaap--CommonStockSharesOutst"/>
            <w:bookmarkStart w:id="1039" w:name="xdx_90B_eus-gaap--CommonStockSharesIssue"/>
            <w:bookmarkEnd w:id="1038"/>
            <w:bookmarkEnd w:id="1039"/>
            <w:r>
              <w:rPr>
                <w:rFonts w:ascii="Times New Roman;Times;Serif" w:hAnsi="Times New Roman;Times;Serif"/>
              </w:rPr>
              <w:t xml:space="preserve">102,764,548 and </w:t>
            </w:r>
            <w:bookmarkStart w:id="1040" w:name="xdx_90D_eus-gaap--CommonStockSharesOutst"/>
            <w:bookmarkStart w:id="1041" w:name="xdx_90C_eus-gaap--CommonStockSharesIssue"/>
            <w:bookmarkEnd w:id="1040"/>
            <w:bookmarkEnd w:id="1041"/>
            <w:r>
              <w:rPr>
                <w:rFonts w:ascii="Times New Roman;Times;Serif" w:hAnsi="Times New Roman;Times;Serif"/>
              </w:rPr>
              <w:t>102,674,548 shares issued and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2" w:type="dxa"/>
            <w:tcBorders/>
            <w:shd w:fill="FFFFFF" w:val="clear"/>
            <w:vAlign w:val="center"/>
          </w:tcPr>
          <w:p>
            <w:pPr>
              <w:pStyle w:val="TableContents"/>
              <w:bidi w:val="0"/>
              <w:spacing w:before="0" w:after="283"/>
              <w:jc w:val="left"/>
              <w:rPr/>
            </w:pPr>
            <w:r>
              <w:rPr/>
              <w:t> </w:t>
            </w:r>
            <w:bookmarkStart w:id="1042" w:name="xdx_406_eus-gaap--CommonStockValue_i02I_"/>
            <w:bookmarkEnd w:id="1042"/>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value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2" w:type="dxa"/>
            <w:tcBorders/>
            <w:shd w:fill="FFFFFF" w:val="clear"/>
            <w:vAlign w:val="center"/>
          </w:tcPr>
          <w:p>
            <w:pPr>
              <w:pStyle w:val="TableContents"/>
              <w:bidi w:val="0"/>
              <w:spacing w:before="0" w:after="283"/>
              <w:jc w:val="left"/>
              <w:rPr/>
            </w:pPr>
            <w:r>
              <w:rPr/>
              <w:t> </w:t>
            </w:r>
            <w:bookmarkStart w:id="1043" w:name="xdx_40C_eus-gaap--TreasuryStockValue_i02"/>
            <w:bookmarkEnd w:id="1043"/>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(112,527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44" w:name="xdx_403_eus-gaap--AdditionalPaidInCapita"/>
            <w:bookmarkEnd w:id="1044"/>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1,395,929</w:t>
            </w:r>
          </w:p>
        </w:tc>
        <w:tc>
          <w:tcPr>
            <w:tcW w:w="112" w:type="dxa"/>
            <w:tcBorders/>
            <w:shd w:fill="FFFFFF" w:val="clear"/>
            <w:vAlign w:val="center"/>
          </w:tcPr>
          <w:p>
            <w:pPr>
              <w:pStyle w:val="TableContents"/>
              <w:bidi w:val="0"/>
              <w:spacing w:before="0" w:after="283"/>
              <w:jc w:val="left"/>
              <w:rPr/>
            </w:pPr>
            <w:r>
              <w:rPr/>
              <w:t> </w:t>
            </w:r>
            <w:bookmarkStart w:id="1045" w:name="xdx_406_eus-gaap--RetainedEarningsAccumu"/>
            <w:bookmarkEnd w:id="1045"/>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169,764</w:t>
            </w:r>
          </w:p>
        </w:tc>
        <w:tc>
          <w:tcPr>
            <w:tcW w:w="112" w:type="dxa"/>
            <w:tcBorders/>
            <w:shd w:fill="CCEEFF" w:val="clear"/>
            <w:vAlign w:val="center"/>
          </w:tcPr>
          <w:p>
            <w:pPr>
              <w:pStyle w:val="TableContents"/>
              <w:bidi w:val="0"/>
              <w:spacing w:before="0" w:after="283"/>
              <w:jc w:val="left"/>
              <w:rPr/>
            </w:pPr>
            <w:r>
              <w:rPr/>
              <w:t> </w:t>
            </w:r>
            <w:bookmarkStart w:id="1046" w:name="xdx_403_eus-gaap--StockholdersEquity_i02"/>
            <w:bookmarkEnd w:id="1046"/>
          </w:p>
        </w:tc>
      </w:tr>
      <w:tr>
        <w:trPr/>
        <w:tc>
          <w:tcPr>
            <w:tcW w:w="73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 attributable to shareholders of the Company</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1,526,663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1,453,178</w:t>
            </w:r>
          </w:p>
        </w:tc>
        <w:tc>
          <w:tcPr>
            <w:tcW w:w="112" w:type="dxa"/>
            <w:tcBorders/>
            <w:shd w:fill="FFFFFF" w:val="clear"/>
            <w:vAlign w:val="center"/>
          </w:tcPr>
          <w:p>
            <w:pPr>
              <w:pStyle w:val="TableContents"/>
              <w:bidi w:val="0"/>
              <w:spacing w:before="0" w:after="283"/>
              <w:jc w:val="left"/>
              <w:rPr/>
            </w:pPr>
            <w:r>
              <w:rPr/>
              <w:t> </w:t>
            </w:r>
            <w:bookmarkStart w:id="1047" w:name="xdx_401_eus-gaap--LiabilitiesAndStockhol"/>
            <w:bookmarkEnd w:id="1047"/>
          </w:p>
        </w:tc>
      </w:tr>
      <w:tr>
        <w:trPr/>
        <w:tc>
          <w:tcPr>
            <w:tcW w:w="73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1,639,015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1,569,879</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shares, ADS, per share and per ADS data)</w:t>
      </w:r>
    </w:p>
    <w:p>
      <w:pPr>
        <w:pStyle w:val="TextBody"/>
        <w:bidi w:val="0"/>
        <w:spacing w:before="0" w:after="0"/>
        <w:jc w:val="center"/>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290"/>
        <w:gridCol w:w="752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5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CONDENSED FINANCIAL INFORMATION OF THE PARENT COMPANY (Continued)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PARENT COMPANY STATEMENTS OF OPERATIONS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48" w:name="xdx_30C_134_zF4XttHd1Foe"/>
      <w:bookmarkStart w:id="1049" w:name="xdx_30C_134_zF4XttHd1Foe"/>
      <w:bookmarkEnd w:id="1049"/>
    </w:p>
    <w:tbl>
      <w:tblPr>
        <w:tblW w:w="10205" w:type="dxa"/>
        <w:jc w:val="left"/>
        <w:tblInd w:w="0" w:type="dxa"/>
        <w:tblLayout w:type="fixed"/>
        <w:tblCellMar>
          <w:top w:w="0" w:type="dxa"/>
          <w:left w:w="0" w:type="dxa"/>
          <w:bottom w:w="0" w:type="dxa"/>
          <w:right w:w="0" w:type="dxa"/>
        </w:tblCellMar>
      </w:tblPr>
      <w:tblGrid>
        <w:gridCol w:w="7274"/>
        <w:gridCol w:w="60"/>
        <w:gridCol w:w="90"/>
        <w:gridCol w:w="1207"/>
        <w:gridCol w:w="142"/>
        <w:gridCol w:w="89"/>
        <w:gridCol w:w="90"/>
        <w:gridCol w:w="1139"/>
        <w:gridCol w:w="114"/>
      </w:tblGrid>
      <w:tr>
        <w:trPr/>
        <w:tc>
          <w:tcPr>
            <w:tcW w:w="72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50" w:name="xdx_490_20250101__20250630__srt--Consoli"/>
            <w:bookmarkEnd w:id="1050"/>
          </w:p>
        </w:tc>
        <w:tc>
          <w:tcPr>
            <w:tcW w:w="129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1051" w:name="xdx_497_20260101__20260630__srt--Consoli"/>
            <w:bookmarkEnd w:id="1051"/>
          </w:p>
        </w:tc>
        <w:tc>
          <w:tcPr>
            <w:tcW w:w="12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4"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4"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2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4" w:type="dxa"/>
            <w:tcBorders/>
            <w:vAlign w:val="center"/>
          </w:tcPr>
          <w:p>
            <w:pPr>
              <w:pStyle w:val="TableContents"/>
              <w:bidi w:val="0"/>
              <w:spacing w:before="0" w:after="283"/>
              <w:jc w:val="left"/>
              <w:rPr/>
            </w:pPr>
            <w:r>
              <w:rPr/>
              <w:t> </w:t>
            </w:r>
            <w:bookmarkStart w:id="1052" w:name="xdx_409_eus-gaap--OperatingExpensesAbstr"/>
            <w:bookmarkEnd w:id="1052"/>
          </w:p>
        </w:tc>
      </w:tr>
      <w:tr>
        <w:trPr/>
        <w:tc>
          <w:tcPr>
            <w:tcW w:w="72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053" w:name="xdx_40D_eus-gaap--GeneralAndAdministrati"/>
            <w:bookmarkEnd w:id="1053"/>
          </w:p>
        </w:tc>
      </w:tr>
      <w:tr>
        <w:trPr/>
        <w:tc>
          <w:tcPr>
            <w:tcW w:w="72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(2,184</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(2,348</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54" w:name="xdx_40D_eus-gaap--OperatingExpenses_i02N"/>
            <w:bookmarkEnd w:id="1054"/>
          </w:p>
        </w:tc>
      </w:tr>
      <w:tr>
        <w:trPr/>
        <w:tc>
          <w:tcPr>
            <w:tcW w:w="72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(2,184</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(2,348</w:t>
            </w:r>
          </w:p>
        </w:tc>
        <w:tc>
          <w:tcPr>
            <w:tcW w:w="11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055" w:name="xdx_401_eus-gaap--OtherOperatingIncomeEx"/>
            <w:bookmarkEnd w:id="1055"/>
          </w:p>
        </w:tc>
      </w:tr>
      <w:tr>
        <w:trPr/>
        <w:tc>
          <w:tcPr>
            <w:tcW w:w="72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 net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1,472</w:t>
            </w:r>
          </w:p>
        </w:tc>
        <w:tc>
          <w:tcPr>
            <w:tcW w:w="114" w:type="dxa"/>
            <w:tcBorders/>
            <w:shd w:fill="FFFFFF" w:val="clear"/>
            <w:vAlign w:val="center"/>
          </w:tcPr>
          <w:p>
            <w:pPr>
              <w:pStyle w:val="TableContents"/>
              <w:bidi w:val="0"/>
              <w:spacing w:before="0" w:after="283"/>
              <w:jc w:val="left"/>
              <w:rPr/>
            </w:pPr>
            <w:r>
              <w:rPr/>
              <w:t> </w:t>
            </w:r>
            <w:bookmarkStart w:id="1056" w:name="xdx_40A_eus-gaap--GainLossOnSaleOfStockI"/>
            <w:bookmarkEnd w:id="1056"/>
          </w:p>
        </w:tc>
      </w:tr>
      <w:tr>
        <w:trPr/>
        <w:tc>
          <w:tcPr>
            <w:tcW w:w="72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in gain (loss) of subsidiaries/VIEs</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109,668</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(33,401</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57" w:name="xdx_40F_eus-gaap--OperatingIncomeLoss_i0"/>
            <w:bookmarkEnd w:id="1057"/>
          </w:p>
        </w:tc>
      </w:tr>
      <w:tr>
        <w:trPr/>
        <w:tc>
          <w:tcPr>
            <w:tcW w:w="72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income (expenses)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107,427</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(34,277</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058" w:name="xdx_403_ecustom--InterestIncomeExpenseAn"/>
            <w:bookmarkEnd w:id="1058"/>
          </w:p>
        </w:tc>
      </w:tr>
      <w:tr>
        <w:trPr/>
        <w:tc>
          <w:tcPr>
            <w:tcW w:w="72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investment income, net</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7,991</w:t>
            </w:r>
          </w:p>
        </w:tc>
        <w:tc>
          <w:tcPr>
            <w:tcW w:w="114" w:type="dxa"/>
            <w:tcBorders/>
            <w:shd w:fill="CCEEFF" w:val="clear"/>
            <w:vAlign w:val="center"/>
          </w:tcPr>
          <w:p>
            <w:pPr>
              <w:pStyle w:val="TableContents"/>
              <w:bidi w:val="0"/>
              <w:spacing w:before="0" w:after="283"/>
              <w:jc w:val="left"/>
              <w:rPr/>
            </w:pPr>
            <w:r>
              <w:rPr/>
              <w:t> </w:t>
            </w:r>
            <w:bookmarkStart w:id="1059" w:name="xdx_40A_eus-gaap--IncomeLossFromContinui"/>
            <w:bookmarkEnd w:id="1059"/>
          </w:p>
        </w:tc>
      </w:tr>
      <w:tr>
        <w:trPr/>
        <w:tc>
          <w:tcPr>
            <w:tcW w:w="72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before income tax expenses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120,715</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(26,286</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060" w:name="xdx_409_eus-gaap--IncomeTaxExpenseBenefi"/>
            <w:bookmarkEnd w:id="1060"/>
          </w:p>
        </w:tc>
      </w:tr>
      <w:tr>
        <w:trPr/>
        <w:tc>
          <w:tcPr>
            <w:tcW w:w="72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expenses</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1061" w:name="xdx_404_eus-gaap--NetIncomeLoss_i02T_pn3"/>
            <w:bookmarkEnd w:id="1061"/>
          </w:p>
        </w:tc>
      </w:tr>
      <w:tr>
        <w:trPr/>
        <w:tc>
          <w:tcPr>
            <w:tcW w:w="72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attributable to ordinary shareholders of the Company</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120,395</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(26,286</w:t>
            </w:r>
          </w:p>
        </w:tc>
        <w:tc>
          <w:tcPr>
            <w:tcW w:w="11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PARENT COMPANY STATEMENTS OF CASH FLOWS</w:t>
      </w:r>
    </w:p>
    <w:p>
      <w:pPr>
        <w:pStyle w:val="TextBody"/>
        <w:bidi w:val="0"/>
        <w:spacing w:before="0" w:after="0"/>
        <w:ind w:left="60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2" w:name="xdx_302_134_z8UBh6k47ysg"/>
      <w:bookmarkStart w:id="1063" w:name="xdx_302_134_z8UBh6k47ysg"/>
      <w:bookmarkEnd w:id="1063"/>
    </w:p>
    <w:tbl>
      <w:tblPr>
        <w:tblW w:w="8315" w:type="dxa"/>
        <w:jc w:val="left"/>
        <w:tblInd w:w="0" w:type="dxa"/>
        <w:tblLayout w:type="fixed"/>
        <w:tblCellMar>
          <w:top w:w="0" w:type="dxa"/>
          <w:left w:w="0" w:type="dxa"/>
          <w:bottom w:w="0" w:type="dxa"/>
          <w:right w:w="0" w:type="dxa"/>
        </w:tblCellMar>
      </w:tblPr>
      <w:tblGrid>
        <w:gridCol w:w="5360"/>
        <w:gridCol w:w="60"/>
        <w:gridCol w:w="87"/>
        <w:gridCol w:w="1270"/>
        <w:gridCol w:w="137"/>
        <w:gridCol w:w="87"/>
        <w:gridCol w:w="88"/>
        <w:gridCol w:w="1116"/>
        <w:gridCol w:w="110"/>
      </w:tblGrid>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64" w:name="xdx_490_20250101__20250630__srt--Consoli"/>
            <w:bookmarkEnd w:id="1064"/>
          </w:p>
        </w:tc>
        <w:tc>
          <w:tcPr>
            <w:tcW w:w="135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1065" w:name="xdx_497_20260101__20260630__srt--Consoli"/>
            <w:bookmarkEnd w:id="1065"/>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11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3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10" w:type="dxa"/>
            <w:tcBorders/>
            <w:vAlign w:val="center"/>
          </w:tcPr>
          <w:p>
            <w:pPr>
              <w:pStyle w:val="TableContents"/>
              <w:bidi w:val="0"/>
              <w:spacing w:before="0" w:after="283"/>
              <w:jc w:val="left"/>
              <w:rPr/>
            </w:pPr>
            <w:r>
              <w:rPr/>
              <w:t> </w:t>
            </w:r>
            <w:bookmarkStart w:id="1066" w:name="xdx_40E_eus-gaap--NetCashProvidedByUsedI"/>
            <w:bookmarkEnd w:id="1066"/>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447,348</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83,059</w:t>
            </w:r>
          </w:p>
        </w:tc>
        <w:tc>
          <w:tcPr>
            <w:tcW w:w="110" w:type="dxa"/>
            <w:tcBorders/>
            <w:shd w:fill="CCEEFF" w:val="clear"/>
            <w:vAlign w:val="center"/>
          </w:tcPr>
          <w:p>
            <w:pPr>
              <w:pStyle w:val="TableContents"/>
              <w:bidi w:val="0"/>
              <w:spacing w:before="0" w:after="283"/>
              <w:jc w:val="left"/>
              <w:rPr/>
            </w:pPr>
            <w:r>
              <w:rPr/>
              <w:t> </w:t>
            </w:r>
            <w:bookmarkStart w:id="1067" w:name="xdx_40B_eus-gaap--NetCashProvidedByUsedI"/>
            <w:bookmarkEnd w:id="1067"/>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by investing activities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(238,896</w:t>
            </w:r>
          </w:p>
        </w:tc>
        <w:tc>
          <w:tcPr>
            <w:tcW w:w="1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68" w:name="xdx_401_eus-gaap--NetCashProvidedByUsedI"/>
            <w:bookmarkEnd w:id="1068"/>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(35,629</w:t>
            </w:r>
          </w:p>
        </w:tc>
        <w:tc>
          <w:tcPr>
            <w:tcW w:w="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69" w:name="xdx_40E_eus-gaap--EffectOfExchangeRateOn"/>
            <w:bookmarkEnd w:id="1069"/>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exchanges rates on cash and cash equivalents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15,425</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0" w:name="xdx_40A_eus-gaap--CashCashEquivalentsRes"/>
            <w:bookmarkEnd w:id="1070"/>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188,248</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1" w:name="xdx_40F_eus-gaap--CashCashEquivalentsRes"/>
            <w:bookmarkEnd w:id="1071"/>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164,583</w:t>
            </w:r>
          </w:p>
        </w:tc>
        <w:tc>
          <w:tcPr>
            <w:tcW w:w="13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w:t>
            </w:r>
          </w:p>
        </w:tc>
        <w:tc>
          <w:tcPr>
            <w:tcW w:w="110" w:type="dxa"/>
            <w:tcBorders/>
            <w:shd w:fill="FFFFFF" w:val="clear"/>
            <w:vAlign w:val="center"/>
          </w:tcPr>
          <w:p>
            <w:pPr>
              <w:pStyle w:val="TableContents"/>
              <w:bidi w:val="0"/>
              <w:spacing w:before="0" w:after="283"/>
              <w:jc w:val="left"/>
              <w:rPr/>
            </w:pPr>
            <w:r>
              <w:rPr/>
              <w:t> </w:t>
            </w:r>
            <w:bookmarkStart w:id="1072" w:name="xdx_40A_eus-gaap--CashCashEquivalentsRes"/>
            <w:bookmarkEnd w:id="1072"/>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352,831</w:t>
            </w:r>
          </w:p>
        </w:tc>
        <w:tc>
          <w:tcPr>
            <w:tcW w:w="13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073" w:name="xdx_8A8_zs6LyTCE0lKj"/>
      <w:bookmarkEnd w:id="1073"/>
      <w:r>
        <w:rPr>
          <w:caps w:val="false"/>
          <w:smallCaps w:val="false"/>
        </w:rPr>
        <w:t> </w:t>
      </w:r>
    </w:p>
    <w:p>
      <w:pPr>
        <w:pStyle w:val="TextBody"/>
        <w:bidi w:val="0"/>
        <w:spacing w:before="0" w:after="0"/>
        <w:ind w:left="0" w:right="0" w:hanging="0"/>
        <w:jc w:val="left"/>
        <w:rPr>
          <w:caps w:val="false"/>
          <w:smallCaps w:val="false"/>
        </w:rPr>
      </w:pPr>
      <w:bookmarkStart w:id="1074" w:name="xdx_81A_zsREaG0k3sed"/>
      <w:bookmarkEnd w:id="107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2770/000149315226032618/formf-3.htm" TargetMode="External"/><Relationship Id="rId3" Type="http://schemas.openxmlformats.org/officeDocument/2006/relationships/hyperlink" Target="https://www.sec.gov/Archives/edgar/data/1742770/000156459019008887/viot-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15654</Words>
  <Characters>86172</Characters>
  <CharactersWithSpaces>104333</CharactersWithSpaces>
  <Paragraphs>7580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