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Viomi Technology Co.,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Koh Tuck Lye</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SINGAPORE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7,459,854.00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7,459,854.00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7,459,854.00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980"/>
          </w:cols>
          <w:pgMar w:left="320" w:top="111" w:right="439" w:bottom="0" w:gutter="0" w:footer="0" w:header="0"/>
        </w:sectPr>
      </w:pPr>
    </w:p>
    <w:p>
      <w:pPr>
        <w:spacing w:after="0" w:line="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For rows 5, 7 and 9: Represents 7,459,854 Class A ordinary shares (represented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2,486,618 ADSs) held by Shunwei Talent Limited. Shunwei Talent Limited is wholly owned by Shunwei China Internet Fund II, L.P. The general partner of Shunwei China Internet Fund II, L.P. is Shunwei Capital Partners II GP, L.P., and the general partner of Shunwei Capital Partners II GP, L.P. is Shunwei Capital Partners II GP Limited, which is controlled by Mr. Koh Tuck Lye.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Shunwei Capital Partners II GP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7,459,854.00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7,459,854.00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140"/>
          </w:cols>
          <w:pgMar w:left="320" w:top="111" w:right="4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7,459,854.00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For rows 5, 7 and 9: Represents 7,459,854 Class A ordinary shares (represented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2,486,618 ADSs) held by Shunwei Talent Limited. Shunwei Talent Limited is wholly owned by Shunwei China Internet Fund II, L.P. The general partner of Shunwei China Internet Fund II, L.P. is Shunwei Capital Partners II GP, L.P., and the general partner of Shunwei Capital Partners II GP, L.P. is Shunwei Capital Partners II GP Limited.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Shunwei Capital Partners II GP,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355" w:right="4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6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7,459,854.00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7,459,854.00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7,459,854.00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80"/>
          </w:cols>
          <w:pgMar w:left="320" w:top="355" w:right="439" w:bottom="0" w:gutter="0" w:footer="0" w:header="0"/>
          <w:type w:val="continuous"/>
        </w:sectPr>
      </w:pP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For rows 5, 7 and 9: Represents 7,459,854 Class A ordinary shares (represented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2,486,618 ADSs) held by Shunwei Talent Limited. Shunwei Talent Limited is wholly owned by Shunwei China Internet Fund II,</w:t>
      </w:r>
    </w:p>
    <w:p>
      <w:pPr>
        <w:sectPr>
          <w:pgSz w:w="11900" w:h="16838" w:orient="portrait"/>
          <w:cols w:equalWidth="0" w:num="1">
            <w:col w:w="11140"/>
          </w:cols>
          <w:pgMar w:left="320" w:top="355" w:right="43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L.P. The general partner of Shunwei China Internet Fund II, L.P. is Shunwei Capital Partners II GP, L.P.</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Shunwei China Internet Fund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112" w:right="439" w:bottom="167"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6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7,459,854.00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7,459,854.00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7,459,854.00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80"/>
          </w:cols>
          <w:pgMar w:left="320" w:top="112" w:right="439" w:bottom="167"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For rows 5, 7 and 9: Represents 7,459,854 Class A ordinary shares (represented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2,486,618 ADSs) held by Shunwei Talent Limited. Shunwei Talent Limited is wholly owned by Shunwei China Internet Fund II, L.P.</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Shunwei Talent Limited</w:t>
      </w:r>
    </w:p>
    <w:p>
      <w:pPr>
        <w:spacing w:after="0" w:line="2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140"/>
          </w:cols>
          <w:pgMar w:left="320" w:top="112" w:right="439" w:bottom="167" w:gutter="0" w:footer="0" w:header="0"/>
          <w:type w:val="continuous"/>
        </w:sectPr>
      </w:pPr>
    </w:p>
    <w:bookmarkStart w:id="4" w:name="page5"/>
    <w:bookmarkEnd w:id="4"/>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7,459,854.00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7,459,854.00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7,459,854.00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10000"/>
          </w:cols>
          <w:pgMar w:left="360" w:top="126"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20"/>
          </w:cols>
          <w:pgMar w:left="360" w:top="126" w:right="41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Viomi Technology Co.,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Wansheng Square, Rm 1302 Tower C, Xingang East Road, Haizhu District, Guangzhou, Guangdong, F4 510220</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both"/>
        <w:ind w:right="760" w:firstLine="6"/>
        <w:spacing w:after="0" w:line="270"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Koh Tuck Lye, (ii) Shunwei Capital Partners II GP Limited, (iii) Shunwei Capital Partners II GP, L.P., (iv) Shunwei China Internet Fund II, L.P., and (v) Shunwei Talent Limited (collectively, the "Reporting Persons") Address or principal business office or, if none, residence:</w:t>
      </w:r>
    </w:p>
    <w:p>
      <w:pPr>
        <w:spacing w:after="0" w:line="172" w:lineRule="exact"/>
        <w:rPr>
          <w:sz w:val="20"/>
          <w:szCs w:val="20"/>
          <w:color w:val="auto"/>
        </w:rPr>
      </w:pPr>
    </w:p>
    <w:p>
      <w:pPr>
        <w:sectPr>
          <w:pgSz w:w="11900" w:h="16838" w:orient="portrait"/>
          <w:cols w:equalWidth="0" w:num="2">
            <w:col w:w="620" w:space="300"/>
            <w:col w:w="10200"/>
          </w:cols>
          <w:pgMar w:left="360" w:top="126" w:right="419" w:bottom="0" w:gutter="0" w:footer="0" w:header="0"/>
          <w:type w:val="continuous"/>
        </w:sectPr>
      </w:pPr>
    </w:p>
    <w:p>
      <w:pPr>
        <w:ind w:left="920"/>
        <w:spacing w:after="0" w:line="253" w:lineRule="auto"/>
        <w:rPr>
          <w:sz w:val="20"/>
          <w:szCs w:val="20"/>
          <w:color w:val="auto"/>
        </w:rPr>
      </w:pPr>
      <w:r>
        <w:rPr>
          <w:rFonts w:ascii="Times New Roman" w:cs="Times New Roman" w:eastAsia="Times New Roman" w:hAnsi="Times New Roman"/>
          <w:sz w:val="21"/>
          <w:szCs w:val="21"/>
          <w:color w:val="auto"/>
        </w:rPr>
        <w:t>(i) Koh Tuck Lye 111 Somerset Road, TripleOne Somerset, #07-07 Singapore 238164 (ii) Shunwei Capital Partners II GP Limited Campbells Corporate Services Limited, Floor 4, Willow House, Cricket Square, PO Box 268, Grand</w:t>
      </w:r>
    </w:p>
    <w:p>
      <w:pPr>
        <w:ind w:left="920" w:right="40" w:hanging="912"/>
        <w:spacing w:after="0" w:line="233"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Cayman KY1-1104, Cayman Islands (iii) Shunwei Capital Partners II GP, L.P. Campbells Corporate Services Limited, Floor 4, Willow House, Cricket Square, PO Box 268, Grand Cayman KY1-1104, Cayman Islands (iv) Shunwei China Internet Fund II, L.P. Campbells Corporate Services Limited, Floor 4, Willow House, Cricket Square, PO Box 268, Grand Cayman KY1-1104, Cayman Islands (v) Shunwei Talent Limited Vistra Corporate Services Center, Wickhams Cay II, Road Town, Tortola, VG 1110, British Virgin Islands</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80" w:hanging="912"/>
        <w:spacing w:after="0" w:line="24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Koh Tuck Lye - Singapore (ii) Shunwei Capital Partners II GP Limited - Cayman Islands (iii) Shunwei Capital Partners II GP, L.P. - Cayman Islands (iv) Shunwei China Internet Fund II, L.P. - Cayman Islands (v) Shunwei Talent Limited - British Virgin Islands</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ectPr>
          <w:pgSz w:w="11900" w:h="16838" w:orient="portrait"/>
          <w:cols w:equalWidth="0" w:num="1">
            <w:col w:w="11120"/>
          </w:cols>
          <w:pgMar w:left="360" w:top="126" w:right="419" w:bottom="0" w:gutter="0" w:footer="0" w:header="0"/>
          <w:type w:val="continuous"/>
        </w:sectPr>
      </w:pPr>
    </w:p>
    <w:bookmarkStart w:id="5" w:name="page6"/>
    <w:bookmarkEnd w:id="5"/>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Class A ordinary shares, $0.00001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60"/>
          </w:cols>
          <w:pgMar w:left="360" w:top="355" w:right="459" w:bottom="0" w:gutter="0" w:footer="0" w:header="0"/>
        </w:sectPr>
      </w:pPr>
    </w:p>
    <w:p>
      <w:pPr>
        <w:spacing w:after="0" w:line="33" w:lineRule="exact"/>
        <w:rPr>
          <w:sz w:val="20"/>
          <w:szCs w:val="20"/>
          <w:color w:val="auto"/>
        </w:rPr>
      </w:pPr>
    </w:p>
    <w:p>
      <w:pPr>
        <w:ind w:left="920" w:right="60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4(a) is set forth in Row 9 of the cover page for each Reporting Person and is incorporated herein by reference.</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39"/>
          <w:szCs w:val="39"/>
          <w:color w:val="auto"/>
          <w:vertAlign w:val="superscript"/>
        </w:rPr>
      </w:pPr>
    </w:p>
    <w:p>
      <w:pPr>
        <w:ind w:left="920" w:right="50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4(b) is set forth in Row 11 of the cover page for each Reporting Person and is incorporated herein by reference.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line="235"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Reporting Person and is incorporated herein by reference. As of March 31, 2026, 7,459,854 Class A ordinary shares (represented by 2,486,618 ADSs) were directly held by Shunwei Talent Limited. Shunwei Talent Limited is wholly owned by Shunwei China Internet Fund II, L.P. The general partner of Shunwei China Internet Fund II, L.P. is Shunwei Capital Partners II GP, L.P., and the general partner of Shunwei Capital Partners II GP, L.P. is Shunwei Capital Partners II GP Limited, which is controlled by Mr. Koh Tuck Lye. The percentage of class of securities beneficially owned by each Reporting Person is based on 99,200,641 Class A ordinary shares of the Issuer as of February 28, 2026, as disclosed in the Issuer's annual report for the fiscal year of 2025.</w:t>
      </w:r>
    </w:p>
    <w:p>
      <w:pPr>
        <w:spacing w:after="0" w:line="2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Reporting Person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3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Reporting Person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Identification and Classification of the Subsidiary Which Acquired the Security Being Reported on by the Parent</w:t>
      </w:r>
    </w:p>
    <w:p>
      <w:pPr>
        <w:sectPr>
          <w:pgSz w:w="11900" w:h="16838" w:orient="portrait"/>
          <w:cols w:equalWidth="0" w:num="1">
            <w:col w:w="11080"/>
          </w:cols>
          <w:pgMar w:left="360" w:top="355" w:right="459" w:bottom="0" w:gutter="0" w:footer="0" w:header="0"/>
          <w:type w:val="continuous"/>
        </w:sectPr>
      </w:pPr>
    </w:p>
    <w:bookmarkStart w:id="6" w:name="page7"/>
    <w:bookmarkEnd w:id="6"/>
    <w:p>
      <w:pPr>
        <w:ind w:left="920"/>
        <w:spacing w:after="0"/>
        <w:rPr>
          <w:sz w:val="20"/>
          <w:szCs w:val="20"/>
          <w:color w:val="auto"/>
        </w:rPr>
      </w:pPr>
      <w:r>
        <w:rPr>
          <w:rFonts w:ascii="Times New Roman" w:cs="Times New Roman" w:eastAsia="Times New Roman" w:hAnsi="Times New Roman"/>
          <w:sz w:val="22"/>
          <w:szCs w:val="22"/>
          <w:color w:val="auto"/>
        </w:rPr>
        <w:t>Holding Company or Control Person.</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Koh Tuck Lye</w:t>
      </w:r>
    </w:p>
    <w:p>
      <w:pPr>
        <w:spacing w:after="0" w:line="152"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Koh Tuck Lye</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Koh Tuck Lye</w:t>
      </w:r>
    </w:p>
    <w:p>
      <w:pPr>
        <w:spacing w:after="0" w:line="44" w:lineRule="exact"/>
        <w:rPr>
          <w:sz w:val="20"/>
          <w:szCs w:val="20"/>
          <w:color w:val="auto"/>
        </w:rPr>
      </w:pPr>
    </w:p>
    <w:p>
      <w:pPr>
        <w:ind w:left="2780"/>
        <w:spacing w:after="0"/>
        <w:tabs>
          <w:tab w:leader="none" w:pos="3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Shunwei Capital Partners II GP Limited</w:t>
      </w:r>
    </w:p>
    <w:p>
      <w:pPr>
        <w:spacing w:after="0" w:line="152"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Koh Tuck Lye</w:t>
      </w:r>
    </w:p>
    <w:p>
      <w:pPr>
        <w:spacing w:after="0" w:line="4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Name/Title: Koh Tuck Lye/Director</w:t>
      </w:r>
    </w:p>
    <w:p>
      <w:pPr>
        <w:spacing w:after="0" w:line="44"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Shunwei Capital Partners II GP, L.P.</w:t>
      </w:r>
    </w:p>
    <w:p>
      <w:pPr>
        <w:spacing w:after="0" w:line="152" w:lineRule="exact"/>
        <w:rPr>
          <w:sz w:val="20"/>
          <w:szCs w:val="20"/>
          <w:color w:val="auto"/>
        </w:rPr>
      </w:pPr>
    </w:p>
    <w:p>
      <w:pPr>
        <w:ind w:left="490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Koh Tuck Lye</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Koh Tuck Lye/Authorized Representative</w:t>
      </w:r>
    </w:p>
    <w:p>
      <w:pPr>
        <w:spacing w:after="0" w:line="44" w:lineRule="exact"/>
        <w:rPr>
          <w:sz w:val="20"/>
          <w:szCs w:val="20"/>
          <w:color w:val="auto"/>
        </w:rPr>
      </w:pPr>
    </w:p>
    <w:p>
      <w:pPr>
        <w:ind w:left="490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Shunwei China Internet Fund II, L.P.</w:t>
      </w:r>
    </w:p>
    <w:p>
      <w:pPr>
        <w:spacing w:after="0" w:line="152" w:lineRule="exact"/>
        <w:rPr>
          <w:sz w:val="20"/>
          <w:szCs w:val="20"/>
          <w:color w:val="auto"/>
        </w:rPr>
      </w:pPr>
    </w:p>
    <w:p>
      <w:pPr>
        <w:ind w:left="490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Koh Tuck Lye</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Koh Tuck Lye/Authorized Representative</w:t>
      </w:r>
    </w:p>
    <w:p>
      <w:pPr>
        <w:spacing w:after="0" w:line="44" w:lineRule="exact"/>
        <w:rPr>
          <w:sz w:val="20"/>
          <w:szCs w:val="20"/>
          <w:color w:val="auto"/>
        </w:rPr>
      </w:pPr>
    </w:p>
    <w:p>
      <w:pPr>
        <w:ind w:left="490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Shunwei Talent Limited</w:t>
      </w:r>
    </w:p>
    <w:p>
      <w:pPr>
        <w:spacing w:after="0" w:line="152"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Koh Tuck Lye</w:t>
      </w:r>
    </w:p>
    <w:p>
      <w:pPr>
        <w:spacing w:after="0" w:line="4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Name/Title: Koh Tuck Lye/Director</w:t>
      </w:r>
    </w:p>
    <w:p>
      <w:pPr>
        <w:spacing w:after="0" w:line="44"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LIST OF EXHIBITS Exhibit No. Description A* Joint Filing Agreement by and among the Reporting Persons as Exhibit 99.(A) to the Schedule 13G filed with the U.S. Securities and Exchange Commission on February 1, 2019 * Previously filed</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5"/>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9"/>
      <w:numFmt w:val="bullet"/>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2"/>
      <w:numFmt w:val="bullet"/>
      <w:start w:val="1"/>
    </w:lvl>
  </w:abstractNum>
  <w:abstractNum w:abstractNumId="8">
    <w:nsid w:val="216231B"/>
    <w:multiLevelType w:val="hybridMultilevel"/>
    <w:lvl w:ilvl="0">
      <w:lvlJc w:val="left"/>
      <w:lvlText w:val="2"/>
      <w:numFmt w:val="bullet"/>
      <w:start w:val="1"/>
    </w:lvl>
  </w:abstractNum>
  <w:abstractNum w:abstractNumId="9">
    <w:nsid w:val="1F16E9E8"/>
    <w:multiLevelType w:val="hybridMultilevel"/>
    <w:lvl w:ilvl="0">
      <w:lvlJc w:val="left"/>
      <w:lvlText w:val="(%1)"/>
      <w:numFmt w:val="lowerRoman"/>
      <w:start w:val="1"/>
    </w:lvl>
  </w:abstractNum>
  <w:abstractNum w:abstractNumId="10">
    <w:nsid w:val="1190CDE7"/>
    <w:multiLevelType w:val="hybridMultilevel"/>
    <w:lvl w:ilvl="0">
      <w:lvlJc w:val="left"/>
      <w:lvlText w:val="(%1)"/>
      <w:numFmt w:val="lowerLetter"/>
      <w:start w:val="2"/>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2026-05-13T05:18:14Z</dcterms:created>
  <dcterms:modified xsi:type="dcterms:W3CDTF">2026-05-13T05:18:14Z</dcterms:modified>
</cp:coreProperties>
</file>