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Viomi Technology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7 Licun Industrial Avenue, Lunjiao Subdistrict, Shunde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Guangdong, 528308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ex99-1.htm">
        <w:r>
          <w:rPr>
            <w:rStyle w:val="InternetLink"/>
            <w:rFonts w:ascii="Times New Roman;Times;Serif" w:hAnsi="Times New Roman;Times;Serif"/>
            <w:b w:val="false"/>
            <w:i w:val="false"/>
            <w:caps w:val="false"/>
            <w:smallCaps w:val="false"/>
            <w:sz w:val="20"/>
          </w:rPr>
          <w:t>Exhibit 99.1—Press Release</w:t>
        </w:r>
      </w:hyperlink>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5"/>
        <w:gridCol w:w="606"/>
        <w:gridCol w:w="21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173" w:type="dxa"/>
            <w:tcBorders/>
            <w:vAlign w:val="center"/>
          </w:tcPr>
          <w:p>
            <w:pPr>
              <w:pStyle w:val="TableContents"/>
              <w:pBdr>
                <w:bottom w:val="single" w:sz="8"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Xiaoping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 Reports First Half 2026 Unaudited Financial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FOSHAN, China, August 27, 2026 – Viomi Technology Co., Ltd (“Viomi”, the “Company” or “we”) (NASDAQ: VIOT), a leading global technology company for home water systems, today announced its unaudited financial results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Financial Overview</w:t>
      </w:r>
    </w:p>
    <w:p>
      <w:pPr>
        <w:pStyle w:val="TextBody"/>
        <w:bidi w:val="0"/>
        <w:spacing w:before="0" w:after="0"/>
        <w:ind w:left="0" w:right="0" w:hanging="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85"/>
        <w:gridCol w:w="99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revenues</w:t>
            </w:r>
            <w:r>
              <w:rPr>
                <w:rFonts w:ascii="Times New Roman;Times;Serif" w:hAnsi="Times New Roman;Times;Serif"/>
                <w:b w:val="false"/>
                <w:i w:val="false"/>
                <w:caps w:val="false"/>
                <w:smallCaps w:val="false"/>
                <w:sz w:val="20"/>
              </w:rPr>
              <w:t xml:space="preserve"> were RMB740.0 million (US$109.1 million), compared to RMB1,477.6 million for the same period of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margin</w:t>
            </w:r>
            <w:r>
              <w:rPr>
                <w:rFonts w:ascii="Times New Roman;Times;Serif" w:hAnsi="Times New Roman;Times;Serif"/>
                <w:b w:val="false"/>
                <w:i w:val="false"/>
                <w:caps w:val="false"/>
                <w:smallCaps w:val="false"/>
                <w:sz w:val="20"/>
              </w:rPr>
              <w:t xml:space="preserve"> was 24.0%.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Xiaoping Chen, Founder and CEO of Viomi, commented, “During the first half of 2026, the phase-out of national subsidy policies for our core product categories led to a temporary contraction in market demand. Coupled with a high base effect from the prior year, this resulted in a decline in the Company’s total revenues to RMB740.0 million, down 49.9% year over year. Net loss attributable to ordinary shareholders was RMB26.3 million, primarily due to reduced revenue scale alongside our continued strategic investments in overseas market expansion. Despite these temporary headwinds, the Company remained steadfast in its strategic resolve: we steadily expanded our overseas channel network and further strengthened our core technology and product portfolio, reinforcing our foundation for operational improvement and sustainable, high-quality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overseas channel expansion, the Company is making progress on multiple fronts. In North America, we are leveraging synergies across online and offline channels to accelerate the establishment of a comprehensive market presence. Our Amazon e-commerce business sustained strong momentum with triple-digit year-over-year growth in the first half, including a robust Prime Day performance, where our flagship product V6 Pro ranked among the Top 8 in the under-sink tankless RO category. At the same time, we are actively expanding into offline retail and professional channels to build a more diversified product and brand matrix. Our presence at international trade shows, such as the WQA convention in the United States, has steadily enhanced our professional brand image and global visibility.”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Southeast Asia, building upon our established channel presence in Malaysia, we have continued to expand our regional footprint, successfully entering the Singapore market and exhibiting at the Consumer Electronics Exhibition 2026 (CEE) in May, further enhancing our brand influence across the region. Additionally, in partnership with overseas strategic clients, we have successfully penetrated the Turkish market, leveraging our Water Purifier Gigafactory’s agile supply chain and quality advantages to add another strategic pillar to our global footprint.”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the technology and product front, the Company continued to increase R&amp;D investments, focusing on breakthroughs in cooling and ice-making technologies. Our higher-integration product formats are extending usage scenarios from home to office environments, while iterative upgrades to our multi-functional faucets further address increasingly diversified household water usage needs. Our Water Purifier Gigafactory’s modular production lines and agile manufacturing capabilities enable us to rapidly respond to customized product development across multiple categories and regions, while maximizing production efficiency and continuously optimizing manufacturing costs. These capabilities provide a solid foundation for the commercialization and scaled deployment of our technological innovations.”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With respect to shareholder returns, the Company remains committed to its long-term pledge. In March 2026, the Board of Directors approved a special cash dividend of US$0.022 per ordinary share (US$0.066 per ADS), continuing to share the fruits of development with shareholders. Meanwhile, we steadily advanced our share repurchase program: as of June 30, 2026, the Company had cumulatively repurchased approximately 2.4 million ADSs for a total consideration of approximately US$3.8 million, with the remaining authorization of approximately US$16.2 million to be deployed for future repurchases, demonstrating our firm confidence in the Company’s long-term value and future prospects through tangible actions.”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to the second half of the year, the Company will focus on the following key operational improvement initiatives: first, pursuing more targeted expansion in overseas markets, deepening our presence in core strategic markets such as North America and Southeast Asia, while improving localized operational efficiency; second, actively broadening our base of overseas strategic clients to fully leverage our Water Purifier Gigafactory’s scale effects and cost advantages; and third, comprehensively improving operational efficiency and optimizing our cost structure to return to profitability at the earliest opportunity and continue to generate sustainable returns for shareholders,” Mr. Chen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Half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were RMB740.0 million (US$109.1 million), a decrease of 49.9% from RMB1,477.6 million for the same period of 2025, mainly due to the combined effect of the phase-out of government subsidies for core product categories and the high base in the same period last year.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Home water systems.</w:t>
            </w:r>
            <w:r>
              <w:rPr>
                <w:rFonts w:ascii="Times New Roman;Times;Serif" w:hAnsi="Times New Roman;Times;Serif"/>
                <w:b w:val="false"/>
                <w:i w:val="false"/>
                <w:caps w:val="false"/>
                <w:smallCaps w:val="false"/>
                <w:sz w:val="20"/>
              </w:rPr>
              <w:t xml:space="preserve"> Revenues from home water systems were RMB473.4 million (US$69.8 million), a decrease of 55.3% from RMB1,058.3 million for the same period of 2025, primarily due to the decline in national subsidies for water purifiers.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Consumables.</w:t>
            </w:r>
            <w:r>
              <w:rPr>
                <w:rFonts w:ascii="Times New Roman;Times;Serif" w:hAnsi="Times New Roman;Times;Serif"/>
                <w:b w:val="false"/>
                <w:i w:val="false"/>
                <w:caps w:val="false"/>
                <w:smallCaps w:val="false"/>
                <w:sz w:val="20"/>
              </w:rPr>
              <w:t xml:space="preserve"> Revenues from consumables were RMB131.7 million (US$19.4 million), an increase of 6.9% from RMB123.2 million for the same period of 2025, driven by the growing installed base of water purifiers, which boosted consumable revenue and partially offset the broader decline.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Kitchen appliances and others.</w:t>
            </w:r>
            <w:r>
              <w:rPr>
                <w:rFonts w:ascii="Times New Roman;Times;Serif" w:hAnsi="Times New Roman;Times;Serif"/>
                <w:b w:val="false"/>
                <w:i w:val="false"/>
                <w:caps w:val="false"/>
                <w:smallCaps w:val="false"/>
                <w:sz w:val="20"/>
              </w:rPr>
              <w:t xml:space="preserve"> Revenues from kitchen appliances and others were RMB134.9 million (US$19.9 million), a decrease of 54.4% from RMB296.1 million for the same period of 2025, primarily due to a reduction in orders from Xiaomi, as well as a strategic contraction of Viomi-branded products in this category.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RMB177.7 million (US$26.2 million), compared to RMB391.2 million for the same period of 2025. Gross margin was 24.0%, compared to 26.5% for the same period of 2025. The decrease in gross margin was mainly due to the phase-out of national subsidies in the domestic market, which resulted in softer market demand and heightened competition and pricing pressure across our major product categories</w:t>
        <w:tab/>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RMB247.0 million (US$36.4 million), a decrease of 12.2% from RMB281.4 million for the same period of 2025, primarily due to decreased general and administrative expenses, as well as a decrease in selling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Research and development expenses </w:t>
      </w:r>
      <w:r>
        <w:rPr>
          <w:rFonts w:ascii="Times New Roman;Times;Serif" w:hAnsi="Times New Roman;Times;Serif"/>
          <w:b w:val="false"/>
          <w:i w:val="false"/>
          <w:caps w:val="false"/>
          <w:smallCaps w:val="false"/>
          <w:sz w:val="20"/>
        </w:rPr>
        <w:t>were RMB96.1 million (US$14.2 million), an increase of 7.6% from RMB89.3 million for the same period of 2025, mainly attributable to the expansion of our specialized technical talent pool to support new technology development, alongside higher depreciation and amortization charges arising from new capital investments.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Selling and marketing expenses </w:t>
      </w:r>
      <w:r>
        <w:rPr>
          <w:rFonts w:ascii="Times New Roman;Times;Serif" w:hAnsi="Times New Roman;Times;Serif"/>
          <w:b w:val="false"/>
          <w:i w:val="false"/>
          <w:caps w:val="false"/>
          <w:smallCaps w:val="false"/>
          <w:sz w:val="20"/>
        </w:rPr>
        <w:t>were RMB109.6 million (US$16.1 million), a decrease of 15.1% from RMB129.0 million for the same period of 2025, mainly driven by the reduction in advertising and promotional spending in the domestic market, as well as lower platform service fees and logistics costs in line with revenue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xml:space="preserve"> were RMB41.4 million (US$6.1 million), a decrease of 34.3% from RMB63.0 million for the same period of 2025, primarily attributable to tightened control over personnel expenditures, alongside a reduced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was RMB50.7 million (US$7.5 million), compared to income from operations of RMB118.8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loss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was RMB44.1 million (US$6.5 million), compared to non-GAAP operating income of RMB126.0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of the Company was RMB26.3 million (US$3.9 million), compared to net income attributable to ordinary shareholders of the Company of RMB120.4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loss attributable to ordinary shareholders</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of the Company was RMB19.6 million (US$2.9 million), compared to non-GAAP net income attributable to ordinary shareholders of the Company of RMB127.6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RMB603.8 million (US$89.0 million), restricted cash of RMB153.3 million (US$22.6 million), short-term deposits of RMB279.2 million (US$41.2 million), and short-term investments of RMB120.8 million (US$17.8 million), compared to RMB806.6 million, RMB164.4 million, RMB258.0 million, and RMB82.6 million, respectively,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“Non-GAAP operating income (loss)” is defined as income (loss) from operations excluding share-based compensation expenses. See “Use of Non-GAAP Measures” and “Reconciliation of GAAP and Non-GAAP Results” included in this press release.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“Non-GAAP net income (loss) attributable to ordinary shareholders of the Company” is defined as net income (loss) attributable to ordinary shareholders of the Company excluding share-based compensation expenses. See “Use of Non-GAAP Measures” and “Reconciliation of GAAP and Non-GAAP Results” included in this press release.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Viomi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Viomi’s mission is “AI for Better water,” utilizing AI technology to provide better drinking water solutions for households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industry-leading technology company in home water systems, Viomi has developed a distinctive “Equipment + Consumables” business model. By leveraging its expertise in AI technology, intelligent hardware and software development, the Company simplifies filter replacement and enhances water quality monitoring, thereby increasing the filter replacement rate. Its continuous technological innovations extend filter lifespan and lower user costs, promoting the adoption of water purifiers and supporting a healthy lifestyle while effectively addressing the rising global demand for cleaner, fresher and healthier drinking water. The Company operates a world-leading “Water Purifier Gigafactory” with an integrated industrial chain that boasts optimal efficiency and facilitates continuous breakthroughs in water purification. This state-of-the-art facility enables Viomi to achieve economies of scale and accelerate the global popularization of residential water filtration.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http://ir.viomi.com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Non-GAAP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operating income/(loss), non-GAAP net income/(loss), and non-GAAP net income/(loss) attributable to ordinary shareholders of the Company, in evaluating its operating results and for financial and operational decision-making purposes. Non-GAAP operating income/(loss) is income/(loss) from operations excluding share-based compensation expenses. Non-GAAP net income/(loss) is net income/(loss) excluding share-based compensation expenses. Non-GAAP net income/(loss) attributable to ordinary shareholders of the Company is net income/(loss) attributable to ordinary shareholders excluding share-based compensation expenses. The non-GAAP adjustments do not have any tax impact as share-based compensation expenses are non-deductible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non-GAAP financial measures help identify underlying trends in its business by excluding the impact of share-based compensation expenses, which are non-cash charges, and these measures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should not be considered in isolation or construed as alternative to income from operations, net income, or any other measure of performance or as an indicator of the Company’s operating performance. Investors are encouraged to review the historical non-GAAP financial measures to the most directly comparable GAAP measures. Non-GAAP financial measures presented here may not be comparable to similarly titled measures presented by other companies. Other companies may calculate similarly titled measures differently, limiting their usefulness as comparative measures to the Company’s data. We encourage investors and others to review its financial information in its entirety and not rely on a single financial measure. Reconciliations of the Company’s non-GAAP financial measures to the most directly comparable GAAP measures are included at the end of this press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primarily conducted in China and the significant majority of revenues generated are denominated in Renminbi (“RMB”). This announcement contains currency conversions of RMB amounts into U.S. dollars (“US$”) solely for the convenience of the reader. Unless otherwise noted, all translations from RMB to US$ are made at a rate of RMB6.7851 to US$1.00, the effective noon buying rate for June 30, 2026, as set forth in the H.10 statistical release of the Federal Reserve Board. No representation is made that the RMB amounts could have been, or could be, converted, realized or settled into US$ at that rate on June 30, 2026, or at any other rate.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Safe Harbor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estimated revenue and income from operations from the Continuing Businesses, the business outlook and quotations from management in this announcement, as well as Viomi’s strategic and operational plans, contain forward-looking statements. Viomi may also make written or oral forward-looking statements in its periodic reports to the United States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growth strategies; the cooperation with Xiaomi; recognition of the Company’s brand; trends and competition in the global IoT-enabled smart home market; the development and commercialization of new products, services and technologies; governmental policies and the relevant regulatory environment relating to the Company’s industry and/or aspects of its business operations; general economic conditions in China and around the globe; and assumptions underlying or related to any of the foregoing.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investor and media inquiries, please 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Viomi Technology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Claire Ji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ir@viomi.com.cn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Jenny Cai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+86-10-6508-0677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Brandi Piacente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+1-212-481-2050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viomi@tpg-ir.com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shares, ADS, per share and per ADS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02"/>
        <w:gridCol w:w="60"/>
        <w:gridCol w:w="75"/>
        <w:gridCol w:w="1247"/>
        <w:gridCol w:w="95"/>
        <w:gridCol w:w="60"/>
        <w:gridCol w:w="60"/>
        <w:gridCol w:w="980"/>
        <w:gridCol w:w="95"/>
        <w:gridCol w:w="60"/>
        <w:gridCol w:w="60"/>
        <w:gridCol w:w="800"/>
        <w:gridCol w:w="111"/>
      </w:tblGrid>
      <w:tr>
        <w:trPr/>
        <w:tc>
          <w:tcPr>
            <w:tcW w:w="65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June 30,</w:t>
            </w:r>
          </w:p>
        </w:tc>
        <w:tc>
          <w:tcPr>
            <w:tcW w:w="111" w:type="dxa"/>
            <w:tcBorders/>
            <w:vAlign w:val="center"/>
          </w:tcPr>
          <w:p>
            <w:pPr>
              <w:pStyle w:val="TableContents"/>
              <w:bidi w:val="0"/>
              <w:spacing w:before="0" w:after="283"/>
              <w:jc w:val="left"/>
              <w:rPr/>
            </w:pPr>
            <w:r>
              <w:rPr/>
              <w:t> </w:t>
            </w:r>
          </w:p>
        </w:tc>
      </w:tr>
      <w:tr>
        <w:trPr/>
        <w:tc>
          <w:tcPr>
            <w:tcW w:w="65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r>
      <w:tr>
        <w:trPr/>
        <w:tc>
          <w:tcPr>
            <w:tcW w:w="65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US$</w:t>
            </w:r>
          </w:p>
        </w:tc>
        <w:tc>
          <w:tcPr>
            <w:tcW w:w="111" w:type="dxa"/>
            <w:tcBorders/>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806,599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603,790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88,988</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164,431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22,599</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Short-term deposits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257,950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279,247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41,156</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82,598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17,804</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Accounts and notes receivable from third parties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24,535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3,982</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Accounts receivable from related parties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340,173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389,918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57,467</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Other receivables from related parties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126,879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116,355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17,149</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pPr>
            <w:r>
              <w:rPr/>
              <w:t>157,096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99,361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14,644</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1,960,461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1,790,366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263,868</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Prepaid expenses and other non-current assets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2,195</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305,432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311,399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45,895</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20,101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2,986</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8,415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3,204</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830</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96</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Land use rights, net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56,631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8,253</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12,952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36,302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5,350</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430,487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466,870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68,809</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2,390,948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2,257,236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332,677</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Accounts and notes payable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517,878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473,936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69,850</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Advances from customers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10,153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1,809</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393</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157,043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138,854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20,466</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Short-term borrowing</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7,369</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775</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Lease liabilities due within one year</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xml:space="preserve">Long-term borrowing – current portion </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25,061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3,679</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753,480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708,406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104,408</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Accrued expenses and other liabilities – non-current portion</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53,117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51,108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7,532</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Long-term borrowing</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51,666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5,775</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105,204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90,532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13,342</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858,684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117,750</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Class A Ordinary Shares (US$0.00001 par value; 4,800,000,000 shares authorized; 99,200,641 and 95,171,125 shares issued and 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 xml:space="preserve">Class B Ordinary Shares (US$0.00001 par value; 150,000,000 shares authorized; 102,764,548 and 102,674,548 shares issued and outstanding as of December 31, 2025 and June 30, </w:t>
              <w:br/>
              <w:t>2026, respectively)</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Treasury stock</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(103,085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(112,527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(16,584</w:t>
            </w:r>
          </w:p>
        </w:tc>
        <w:tc>
          <w:tcPr>
            <w:tcW w:w="111" w:type="dxa"/>
            <w:tcBorders/>
            <w:shd w:fill="FFFFFF" w:val="clear"/>
            <w:vAlign w:val="center"/>
          </w:tcPr>
          <w:p>
            <w:pPr>
              <w:pStyle w:val="TableContents"/>
              <w:bidi w:val="0"/>
              <w:spacing w:before="0" w:after="283"/>
              <w:jc w:val="left"/>
              <w:rPr/>
            </w:pPr>
            <w:r>
              <w:rPr/>
              <w:t>)</w:t>
            </w:r>
          </w:p>
        </w:tc>
      </w:tr>
      <w:tr>
        <w:trPr/>
        <w:tc>
          <w:tcPr>
            <w:tcW w:w="6502"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1,414,499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1,421,133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209,449</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226,317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25,020</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pPr>
            <w:r>
              <w:rPr/>
              <w:t>(11,080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(25,204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(3,715</w:t>
            </w:r>
          </w:p>
        </w:tc>
        <w:tc>
          <w:tcPr>
            <w:tcW w:w="111" w:type="dxa"/>
            <w:tcBorders/>
            <w:shd w:fill="CCEEFF" w:val="clear"/>
            <w:vAlign w:val="center"/>
          </w:tcPr>
          <w:p>
            <w:pPr>
              <w:pStyle w:val="TableContents"/>
              <w:bidi w:val="0"/>
              <w:spacing w:before="0" w:after="283"/>
              <w:jc w:val="left"/>
              <w:rPr/>
            </w:pPr>
            <w:r>
              <w:rPr/>
              <w:t>)</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equity attributable to shareholders of the Company</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1,526,663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1,453,178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214,172</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pPr>
            <w:r>
              <w:rPr/>
              <w:t>5,601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1,532,264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1,458,298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214,927</w:t>
            </w:r>
          </w:p>
        </w:tc>
        <w:tc>
          <w:tcPr>
            <w:tcW w:w="111" w:type="dxa"/>
            <w:tcBorders/>
            <w:shd w:fill="CCEEFF" w:val="clear"/>
            <w:vAlign w:val="center"/>
          </w:tcPr>
          <w:p>
            <w:pPr>
              <w:pStyle w:val="TableContents"/>
              <w:bidi w:val="0"/>
              <w:spacing w:before="0" w:after="283"/>
              <w:jc w:val="left"/>
              <w:rPr/>
            </w:pPr>
            <w:r>
              <w:rPr/>
              <w:t> </w:t>
            </w:r>
          </w:p>
        </w:tc>
      </w:tr>
      <w:tr>
        <w:trPr/>
        <w:tc>
          <w:tcPr>
            <w:tcW w:w="65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6502"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2,390,948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2,257,236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332,677</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COMPREHENSIVE INCOME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shares, ADS, per share and per ADS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85"/>
        <w:gridCol w:w="60"/>
        <w:gridCol w:w="60"/>
        <w:gridCol w:w="1220"/>
        <w:gridCol w:w="95"/>
        <w:gridCol w:w="60"/>
        <w:gridCol w:w="60"/>
        <w:gridCol w:w="1220"/>
        <w:gridCol w:w="95"/>
        <w:gridCol w:w="60"/>
        <w:gridCol w:w="60"/>
        <w:gridCol w:w="1220"/>
        <w:gridCol w:w="110"/>
      </w:tblGrid>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5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A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1,360,966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666,138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98,177</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Third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116,653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73,858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10,885</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Total 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1,477,619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739,996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109,062</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(1,086,467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(562,316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(82,875</w:t>
            </w:r>
          </w:p>
        </w:tc>
        <w:tc>
          <w:tcPr>
            <w:tcW w:w="110" w:type="dxa"/>
            <w:tcBorders/>
            <w:shd w:fill="FFFFFF" w:val="clear"/>
            <w:vAlign w:val="center"/>
          </w:tcPr>
          <w:p>
            <w:pPr>
              <w:pStyle w:val="TableContents"/>
              <w:bidi w:val="0"/>
              <w:spacing w:before="0" w:after="283"/>
              <w:jc w:val="left"/>
              <w:rPr/>
            </w:pPr>
            <w:r>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391,152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177,680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26,187</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(96,059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(14,157</w:t>
            </w:r>
          </w:p>
        </w:tc>
        <w:tc>
          <w:tcPr>
            <w:tcW w:w="110" w:type="dxa"/>
            <w:tcBorders/>
            <w:shd w:fill="CCEEFF" w:val="clear"/>
            <w:vAlign w:val="center"/>
          </w:tcPr>
          <w:p>
            <w:pPr>
              <w:pStyle w:val="TableContents"/>
              <w:bidi w:val="0"/>
              <w:spacing w:before="0" w:after="283"/>
              <w:jc w:val="left"/>
              <w:rPr/>
            </w:pPr>
            <w:r>
              <w:rPr/>
              <w:t>)</w:t>
            </w:r>
          </w:p>
        </w:tc>
      </w:tr>
      <w:tr>
        <w:trPr/>
        <w:tc>
          <w:tcPr>
            <w:tcW w:w="588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(129,034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(109,556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(16,147</w:t>
            </w:r>
          </w:p>
        </w:tc>
        <w:tc>
          <w:tcPr>
            <w:tcW w:w="110" w:type="dxa"/>
            <w:tcBorders/>
            <w:shd w:fill="FFFFFF" w:val="clear"/>
            <w:vAlign w:val="center"/>
          </w:tcPr>
          <w:p>
            <w:pPr>
              <w:pStyle w:val="TableContents"/>
              <w:bidi w:val="0"/>
              <w:spacing w:before="0" w:after="283"/>
              <w:jc w:val="left"/>
              <w:rPr/>
            </w:pPr>
            <w:r>
              <w:rPr/>
              <w:t>)</w:t>
            </w:r>
          </w:p>
        </w:tc>
      </w:tr>
      <w:tr>
        <w:trPr/>
        <w:tc>
          <w:tcPr>
            <w:tcW w:w="5885"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(63,029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(41,401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(6,102</w:t>
            </w:r>
          </w:p>
        </w:tc>
        <w:tc>
          <w:tcPr>
            <w:tcW w:w="110" w:type="dxa"/>
            <w:tcBorders/>
            <w:shd w:fill="CCEEFF" w:val="clear"/>
            <w:vAlign w:val="center"/>
          </w:tcPr>
          <w:p>
            <w:pPr>
              <w:pStyle w:val="TableContents"/>
              <w:bidi w:val="0"/>
              <w:spacing w:before="0" w:after="283"/>
              <w:jc w:val="left"/>
              <w:rPr/>
            </w:pPr>
            <w:r>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(281,376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(247,016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(36,406</w:t>
            </w:r>
          </w:p>
        </w:tc>
        <w:tc>
          <w:tcPr>
            <w:tcW w:w="110" w:type="dxa"/>
            <w:tcBorders/>
            <w:shd w:fill="CCEEFF" w:val="clear"/>
            <w:vAlign w:val="center"/>
          </w:tcPr>
          <w:p>
            <w:pPr>
              <w:pStyle w:val="TableContents"/>
              <w:bidi w:val="0"/>
              <w:spacing w:before="0" w:after="283"/>
              <w:jc w:val="left"/>
              <w:rPr>
                <w:b/>
              </w:rPr>
            </w:pPr>
            <w:r>
              <w:rPr>
                <w:b/>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2,742</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Income (loss)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118,847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(50,732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(7,477</w:t>
            </w:r>
          </w:p>
        </w:tc>
        <w:tc>
          <w:tcPr>
            <w:tcW w:w="110" w:type="dxa"/>
            <w:tcBorders/>
            <w:shd w:fill="CCEEFF" w:val="clear"/>
            <w:vAlign w:val="center"/>
          </w:tcPr>
          <w:p>
            <w:pPr>
              <w:pStyle w:val="TableContents"/>
              <w:bidi w:val="0"/>
              <w:spacing w:before="0" w:after="283"/>
              <w:jc w:val="left"/>
              <w:rPr>
                <w:b/>
              </w:rPr>
            </w:pPr>
            <w:r>
              <w:rPr>
                <w:b/>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Interest and investment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14,479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2,134</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Income (loss) before income tax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137,534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(36,253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(5,343</w:t>
            </w:r>
          </w:p>
        </w:tc>
        <w:tc>
          <w:tcPr>
            <w:tcW w:w="110" w:type="dxa"/>
            <w:tcBorders/>
            <w:shd w:fill="CCEEFF" w:val="clear"/>
            <w:vAlign w:val="center"/>
          </w:tcPr>
          <w:p>
            <w:pPr>
              <w:pStyle w:val="TableContents"/>
              <w:bidi w:val="0"/>
              <w:spacing w:before="0" w:after="283"/>
              <w:jc w:val="left"/>
              <w:rPr>
                <w:b/>
              </w:rPr>
            </w:pPr>
            <w:r>
              <w:rPr>
                <w:b/>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Income tax (expenses) benefits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1,398</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(26,767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(3,945</w:t>
            </w:r>
          </w:p>
        </w:tc>
        <w:tc>
          <w:tcPr>
            <w:tcW w:w="110" w:type="dxa"/>
            <w:tcBorders/>
            <w:shd w:fill="CCEEFF" w:val="clear"/>
            <w:vAlign w:val="center"/>
          </w:tcPr>
          <w:p>
            <w:pPr>
              <w:pStyle w:val="TableContents"/>
              <w:bidi w:val="0"/>
              <w:spacing w:before="0" w:after="283"/>
              <w:jc w:val="left"/>
              <w:rPr>
                <w:b/>
              </w:rPr>
            </w:pPr>
            <w:r>
              <w:rPr>
                <w:b/>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Less: Net income (loss) attributable to the non-controlling interest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b/>
              </w:rPr>
            </w:pPr>
            <w:r>
              <w:rPr>
                <w:b/>
              </w:rPr>
              <w:t>Net income (loss) attributable to ordinary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120,395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(3,874</w:t>
            </w:r>
          </w:p>
        </w:tc>
        <w:tc>
          <w:tcPr>
            <w:tcW w:w="110" w:type="dxa"/>
            <w:tcBorders/>
            <w:shd w:fill="CCEEFF" w:val="clear"/>
            <w:vAlign w:val="center"/>
          </w:tcPr>
          <w:p>
            <w:pPr>
              <w:pStyle w:val="TableContents"/>
              <w:bidi w:val="0"/>
              <w:spacing w:before="0" w:after="283"/>
              <w:jc w:val="left"/>
              <w:rPr>
                <w:b/>
              </w:rPr>
            </w:pPr>
            <w:r>
              <w:rPr>
                <w:b/>
              </w:rPr>
              <w:t>)</w:t>
            </w:r>
          </w:p>
        </w:tc>
      </w:tr>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(14,124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(2,082</w:t>
            </w:r>
          </w:p>
        </w:tc>
        <w:tc>
          <w:tcPr>
            <w:tcW w:w="110" w:type="dxa"/>
            <w:tcBorders/>
            <w:shd w:fill="FFFFFF" w:val="clear"/>
            <w:vAlign w:val="center"/>
          </w:tcPr>
          <w:p>
            <w:pPr>
              <w:pStyle w:val="TableContents"/>
              <w:bidi w:val="0"/>
              <w:spacing w:before="0" w:after="283"/>
              <w:jc w:val="left"/>
              <w:rPr/>
            </w:pPr>
            <w:r>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Total comprehensive income (loss)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116,520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(40,410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(5,956</w:t>
            </w:r>
          </w:p>
        </w:tc>
        <w:tc>
          <w:tcPr>
            <w:tcW w:w="110" w:type="dxa"/>
            <w:tcBorders/>
            <w:shd w:fill="FFFFFF" w:val="clear"/>
            <w:vAlign w:val="center"/>
          </w:tcPr>
          <w:p>
            <w:pPr>
              <w:pStyle w:val="TableContents"/>
              <w:bidi w:val="0"/>
              <w:spacing w:before="0" w:after="283"/>
              <w:jc w:val="left"/>
              <w:rPr>
                <w:b/>
              </w:rPr>
            </w:pPr>
            <w:r>
              <w:rPr>
                <w:b/>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 (loss) per ADS</w:t>
            </w:r>
            <w:r>
              <w:rPr>
                <w:rFonts w:ascii="Times New Roman;Times;Serif" w:hAnsi="Times New Roman;Times;Serif"/>
                <w:b/>
                <w:position w:val="7"/>
                <w:sz w:val="16"/>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w:t>
            </w:r>
          </w:p>
        </w:tc>
      </w:tr>
      <w:tr>
        <w:trPr/>
        <w:tc>
          <w:tcPr>
            <w:tcW w:w="58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(0.06</w:t>
            </w:r>
          </w:p>
        </w:tc>
        <w:tc>
          <w:tcPr>
            <w:tcW w:w="110" w:type="dxa"/>
            <w:tcBorders/>
            <w:shd w:fill="FFFFFF" w:val="clear"/>
            <w:vAlign w:val="center"/>
          </w:tcPr>
          <w:p>
            <w:pPr>
              <w:pStyle w:val="TableContents"/>
              <w:bidi w:val="0"/>
              <w:spacing w:before="0" w:after="283"/>
              <w:jc w:val="left"/>
              <w:rPr/>
            </w:pPr>
            <w:r>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Weighted average number of ADS used in calculating net income (loss)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67,952,145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67,021,728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67,021,728</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68,621,698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67,960,939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67,960,939</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b/>
              </w:rPr>
            </w:pPr>
            <w:r>
              <w:rPr>
                <w:b/>
              </w:rPr>
              <w:t>Net income (loss) per share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(0.02</w:t>
            </w:r>
          </w:p>
        </w:tc>
        <w:tc>
          <w:tcPr>
            <w:tcW w:w="110" w:type="dxa"/>
            <w:tcBorders/>
            <w:shd w:fill="CCEEFF" w:val="clear"/>
            <w:vAlign w:val="center"/>
          </w:tcPr>
          <w:p>
            <w:pPr>
              <w:pStyle w:val="TableContents"/>
              <w:bidi w:val="0"/>
              <w:spacing w:before="0" w:after="283"/>
              <w:jc w:val="left"/>
              <w:rPr/>
            </w:pPr>
            <w:r>
              <w:rPr/>
              <w:t>)</w:t>
            </w:r>
          </w:p>
        </w:tc>
      </w:tr>
      <w:tr>
        <w:trPr/>
        <w:tc>
          <w:tcPr>
            <w:tcW w:w="58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Weighted average number of ordinary shares used in calculating net income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203,856,436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201,065,185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201,065,185</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205,865,093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203,882,817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203,882,817</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*Each ADS represents 3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(1) Share-based compensation was allocated in operating expenses as follows: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428</w:t>
            </w:r>
          </w:p>
        </w:tc>
        <w:tc>
          <w:tcPr>
            <w:tcW w:w="11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277</w:t>
            </w:r>
          </w:p>
        </w:tc>
        <w:tc>
          <w:tcPr>
            <w:tcW w:w="11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283"/>
              <w:jc w:val="left"/>
              <w:rPr/>
            </w:pPr>
            <w:r>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VIOMI TECHNOLOGY CO.,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shares, ADS, per share and per ADS data)</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920"/>
        <w:gridCol w:w="60"/>
        <w:gridCol w:w="60"/>
        <w:gridCol w:w="1220"/>
        <w:gridCol w:w="60"/>
        <w:gridCol w:w="60"/>
        <w:gridCol w:w="60"/>
        <w:gridCol w:w="1220"/>
        <w:gridCol w:w="95"/>
        <w:gridCol w:w="60"/>
        <w:gridCol w:w="60"/>
        <w:gridCol w:w="1220"/>
        <w:gridCol w:w="110"/>
      </w:tblGrid>
      <w:tr>
        <w:trPr/>
        <w:tc>
          <w:tcPr>
            <w:tcW w:w="5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(50,732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(7,477</w:t>
            </w:r>
          </w:p>
        </w:tc>
        <w:tc>
          <w:tcPr>
            <w:tcW w:w="110" w:type="dxa"/>
            <w:tcBorders/>
            <w:shd w:fill="CCEEFF" w:val="clear"/>
            <w:vAlign w:val="center"/>
          </w:tcPr>
          <w:p>
            <w:pPr>
              <w:pStyle w:val="TableContents"/>
              <w:bidi w:val="0"/>
              <w:spacing w:before="0" w:after="283"/>
              <w:jc w:val="left"/>
              <w:rPr/>
            </w:pPr>
            <w:r>
              <w:rPr/>
              <w:t>)</w:t>
            </w:r>
          </w:p>
        </w:tc>
      </w:tr>
      <w:tr>
        <w:trPr/>
        <w:tc>
          <w:tcPr>
            <w:tcW w:w="592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983</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b/>
              </w:rPr>
            </w:pPr>
            <w:r>
              <w:rPr>
                <w:b/>
              </w:rPr>
              <w:t>Non-GAAP operating income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126,007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(44,060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(6,494</w:t>
            </w:r>
          </w:p>
        </w:tc>
        <w:tc>
          <w:tcPr>
            <w:tcW w:w="110" w:type="dxa"/>
            <w:tcBorders/>
            <w:shd w:fill="FFFFFF" w:val="clear"/>
            <w:vAlign w:val="center"/>
          </w:tcPr>
          <w:p>
            <w:pPr>
              <w:pStyle w:val="TableContents"/>
              <w:bidi w:val="0"/>
              <w:spacing w:before="0" w:after="283"/>
              <w:jc w:val="left"/>
              <w:rPr>
                <w:b/>
              </w:rPr>
            </w:pPr>
            <w:r>
              <w:rPr>
                <w:b/>
              </w:rPr>
              <w:t>)</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120,528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(3,945</w:t>
            </w:r>
          </w:p>
        </w:tc>
        <w:tc>
          <w:tcPr>
            <w:tcW w:w="110" w:type="dxa"/>
            <w:tcBorders/>
            <w:shd w:fill="FFFFFF" w:val="clear"/>
            <w:vAlign w:val="center"/>
          </w:tcPr>
          <w:p>
            <w:pPr>
              <w:pStyle w:val="TableContents"/>
              <w:bidi w:val="0"/>
              <w:spacing w:before="0" w:after="283"/>
              <w:jc w:val="left"/>
              <w:rPr/>
            </w:pPr>
            <w:r>
              <w:rPr/>
              <w:t>)</w:t>
            </w:r>
          </w:p>
        </w:tc>
      </w:tr>
      <w:tr>
        <w:trPr/>
        <w:tc>
          <w:tcPr>
            <w:tcW w:w="5920" w:type="dxa"/>
            <w:tcBorders/>
            <w:shd w:fill="CCEEFF" w:val="clear"/>
            <w:vAlign w:val="center"/>
          </w:tcPr>
          <w:p>
            <w:pPr>
              <w:pStyle w:val="TableContents"/>
              <w:bidi w:val="0"/>
              <w:spacing w:before="0" w:after="283"/>
              <w:jc w:val="left"/>
              <w:rPr/>
            </w:pPr>
            <w:r>
              <w:rPr/>
              <w:t>Share-based compensation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983</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b/>
              </w:rPr>
            </w:pPr>
            <w:r>
              <w:rPr>
                <w:b/>
              </w:rPr>
              <w:t>Non-GAAP 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127,688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(20,095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(2,962</w:t>
            </w:r>
          </w:p>
        </w:tc>
        <w:tc>
          <w:tcPr>
            <w:tcW w:w="110" w:type="dxa"/>
            <w:tcBorders/>
            <w:shd w:fill="CCEEFF" w:val="clear"/>
            <w:vAlign w:val="center"/>
          </w:tcPr>
          <w:p>
            <w:pPr>
              <w:pStyle w:val="TableContents"/>
              <w:bidi w:val="0"/>
              <w:spacing w:before="0" w:after="283"/>
              <w:jc w:val="left"/>
              <w:rPr>
                <w:b/>
              </w:rPr>
            </w:pPr>
            <w:r>
              <w:rPr>
                <w:b/>
              </w:rPr>
              <w:t>)</w:t>
            </w:r>
          </w:p>
        </w:tc>
      </w:tr>
      <w:tr>
        <w:trPr/>
        <w:tc>
          <w:tcPr>
            <w:tcW w:w="5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Net income (loss) attributable to ordinary shareholders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120,395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(3,874</w:t>
            </w:r>
          </w:p>
        </w:tc>
        <w:tc>
          <w:tcPr>
            <w:tcW w:w="110" w:type="dxa"/>
            <w:tcBorders/>
            <w:shd w:fill="CCEEFF" w:val="clear"/>
            <w:vAlign w:val="center"/>
          </w:tcPr>
          <w:p>
            <w:pPr>
              <w:pStyle w:val="TableContents"/>
              <w:bidi w:val="0"/>
              <w:spacing w:before="0" w:after="283"/>
              <w:jc w:val="left"/>
              <w:rPr/>
            </w:pPr>
            <w:r>
              <w:rPr/>
              <w:t>)</w:t>
            </w:r>
          </w:p>
        </w:tc>
      </w:tr>
      <w:tr>
        <w:trPr/>
        <w:tc>
          <w:tcPr>
            <w:tcW w:w="5920" w:type="dxa"/>
            <w:tcBorders/>
            <w:shd w:fill="FFFFFF" w:val="clear"/>
            <w:vAlign w:val="center"/>
          </w:tcPr>
          <w:p>
            <w:pPr>
              <w:pStyle w:val="TableContents"/>
              <w:bidi w:val="0"/>
              <w:spacing w:before="0" w:after="283"/>
              <w:jc w:val="left"/>
              <w:rPr/>
            </w:pPr>
            <w:r>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983</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b/>
              </w:rPr>
            </w:pPr>
            <w:r>
              <w:rPr>
                <w:b/>
              </w:rPr>
              <w:t>Non-GAAP net income (loss) attributable to ordinary shareholders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127,555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(19,614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(2,891</w:t>
            </w:r>
          </w:p>
        </w:tc>
        <w:tc>
          <w:tcPr>
            <w:tcW w:w="110" w:type="dxa"/>
            <w:tcBorders/>
            <w:shd w:fill="FFFFFF" w:val="clear"/>
            <w:vAlign w:val="center"/>
          </w:tcPr>
          <w:p>
            <w:pPr>
              <w:pStyle w:val="TableContents"/>
              <w:bidi w:val="0"/>
              <w:spacing w:before="0" w:after="283"/>
              <w:jc w:val="left"/>
              <w:rPr>
                <w:b/>
              </w:rPr>
            </w:pPr>
            <w:r>
              <w:rPr>
                <w:b/>
              </w:rPr>
              <w:t>)</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b/>
              </w:rPr>
            </w:pPr>
            <w:r>
              <w:rPr>
                <w:b/>
              </w:rPr>
              <w:t>Non-GAAP net income (loss)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(0.04</w:t>
            </w:r>
          </w:p>
        </w:tc>
        <w:tc>
          <w:tcPr>
            <w:tcW w:w="110" w:type="dxa"/>
            <w:tcBorders/>
            <w:shd w:fill="CCEEFF" w:val="clear"/>
            <w:vAlign w:val="center"/>
          </w:tcPr>
          <w:p>
            <w:pPr>
              <w:pStyle w:val="TableContents"/>
              <w:bidi w:val="0"/>
              <w:spacing w:before="0" w:after="283"/>
              <w:jc w:val="left"/>
              <w:rPr/>
            </w:pPr>
            <w:r>
              <w:rPr/>
              <w:t>)</w:t>
            </w:r>
          </w:p>
        </w:tc>
      </w:tr>
      <w:tr>
        <w:trPr/>
        <w:tc>
          <w:tcPr>
            <w:tcW w:w="592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(0.04</w:t>
            </w:r>
          </w:p>
        </w:tc>
        <w:tc>
          <w:tcPr>
            <w:tcW w:w="110" w:type="dxa"/>
            <w:tcBorders/>
            <w:shd w:fill="FFFFFF" w:val="clear"/>
            <w:vAlign w:val="center"/>
          </w:tcPr>
          <w:p>
            <w:pPr>
              <w:pStyle w:val="TableContents"/>
              <w:bidi w:val="0"/>
              <w:spacing w:before="0" w:after="283"/>
              <w:jc w:val="left"/>
              <w:rPr/>
            </w:pPr>
            <w:r>
              <w:rPr/>
              <w:t>)</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pPr>
            <w:r>
              <w:rPr/>
              <w:t>Weighted average number of ADS used in calculating Non-GAAP net income (loss) per ADS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67,952,145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67,021,728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67,021,728</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68,621,698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67,960,939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67,960,939</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b/>
              </w:rPr>
            </w:pPr>
            <w:r>
              <w:rPr>
                <w:b/>
              </w:rPr>
              <w:t>Non-GAAP net income (loss)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(0.01</w:t>
            </w:r>
          </w:p>
        </w:tc>
        <w:tc>
          <w:tcPr>
            <w:tcW w:w="110" w:type="dxa"/>
            <w:tcBorders/>
            <w:shd w:fill="CCEEFF" w:val="clear"/>
            <w:vAlign w:val="center"/>
          </w:tcPr>
          <w:p>
            <w:pPr>
              <w:pStyle w:val="TableContents"/>
              <w:bidi w:val="0"/>
              <w:spacing w:before="0" w:after="283"/>
              <w:jc w:val="left"/>
              <w:rPr/>
            </w:pPr>
            <w:r>
              <w:rPr/>
              <w:t>)</w:t>
            </w:r>
          </w:p>
        </w:tc>
      </w:tr>
      <w:tr>
        <w:trPr/>
        <w:tc>
          <w:tcPr>
            <w:tcW w:w="592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jc w:val="left"/>
              <w:rPr/>
            </w:pPr>
            <w:r>
              <w:rPr/>
              <w:t>)</w:t>
            </w:r>
          </w:p>
        </w:tc>
      </w:tr>
      <w:tr>
        <w:trPr/>
        <w:tc>
          <w:tcPr>
            <w:tcW w:w="5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pPr>
            <w:r>
              <w:rPr/>
              <w:t>Weighted average number of ordinary shares used in calculating Non-GAAP net income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92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203,856,436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201,065,185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201,065,185</w:t>
            </w:r>
          </w:p>
        </w:tc>
        <w:tc>
          <w:tcPr>
            <w:tcW w:w="110" w:type="dxa"/>
            <w:tcBorders/>
            <w:shd w:fill="CCEEFF" w:val="clear"/>
            <w:vAlign w:val="center"/>
          </w:tcPr>
          <w:p>
            <w:pPr>
              <w:pStyle w:val="TableContents"/>
              <w:bidi w:val="0"/>
              <w:spacing w:before="0" w:after="283"/>
              <w:jc w:val="left"/>
              <w:rPr/>
            </w:pPr>
            <w:r>
              <w:rPr/>
              <w:t> </w:t>
            </w:r>
          </w:p>
        </w:tc>
      </w:tr>
      <w:tr>
        <w:trPr/>
        <w:tc>
          <w:tcPr>
            <w:tcW w:w="592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205,865,093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203,882,817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203,882,817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3383</Words>
  <Characters>20271</Characters>
  <CharactersWithSpaces>24784</CharactersWithSpaces>
  <Paragraphs>2282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