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001-38649</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36"/>
        </w:rPr>
      </w:pPr>
      <w:r>
        <w:rPr>
          <w:rFonts w:ascii="Times New Roman;Times;Serif" w:hAnsi="Times New Roman;Times;Serif"/>
          <w:b/>
          <w:i w:val="false"/>
          <w:caps/>
          <w:sz w:val="36"/>
        </w:rPr>
        <w:t>Viomi Technology Co.,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7 Licun Industrial Avenue, Lunjiao Subdistrict, Shunde District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Guangdong, 528308</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jc w:val="left"/>
        <w:rPr>
          <w:caps w:val="false"/>
          <w:smallCaps w:val="false"/>
        </w:rPr>
      </w:pPr>
      <w:r>
        <w:rPr>
          <w:caps w:val="false"/>
          <w:smallCaps w:val="false"/>
        </w:rPr>
        <w:t> </w:t>
      </w:r>
    </w:p>
    <w:p>
      <w:pPr>
        <w:pStyle w:val="TextBody"/>
        <w:bidi w:val="0"/>
        <w:spacing w:before="0" w:after="283"/>
        <w:jc w:val="left"/>
        <w:rPr/>
      </w:pPr>
      <w:r>
        <w:rPr>
          <w:rFonts w:ascii="Times New Roman;Times;Serif" w:hAnsi="Times New Roman;Times;Serif"/>
          <w:b w:val="false"/>
          <w:i w:val="false"/>
          <w:caps w:val="false"/>
          <w:smallCaps w:val="false"/>
          <w:sz w:val="20"/>
        </w:rPr>
        <w:t>Exhibit 99.1—</w:t>
      </w:r>
      <w:hyperlink w:anchor="ex99-1.htm">
        <w:r>
          <w:rPr>
            <w:rStyle w:val="InternetLink"/>
            <w:rFonts w:ascii="Times New Roman;Times;Serif" w:hAnsi="Times New Roman;Times;Serif"/>
            <w:b w:val="false"/>
            <w:i w:val="false"/>
            <w:caps w:val="false"/>
            <w:smallCaps w:val="false"/>
            <w:sz w:val="20"/>
          </w:rPr>
          <w:t>Press Release</w:t>
        </w:r>
      </w:hyperlink>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0" w:right="0" w:firstLine="49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06"/>
        <w:gridCol w:w="21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18,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 Regains Compliance with Nasdaq’s Minimum Bid Price Requirement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FOSHAN, China, September 18, 2026 – Viomi Technology Co., Ltd (“Viomi” or the “Company”) (NASDAQ: VIOT)</w:t>
      </w:r>
      <w:r>
        <w:rPr>
          <w:rFonts w:ascii="Times New Roman;Times;Serif" w:hAnsi="Times New Roman;Times;Serif"/>
          <w:b w:val="false"/>
          <w:i w:val="false"/>
          <w:caps w:val="false"/>
          <w:smallCaps w:val="false"/>
          <w:sz w:val="20"/>
        </w:rPr>
        <w:t xml:space="preserve">, a leading global technology company for home water systems, today announced </w:t>
      </w:r>
      <w:r>
        <w:rPr>
          <w:rFonts w:ascii="Times New Roman;Times;Serif" w:hAnsi="Times New Roman;Times;Serif"/>
          <w:b w:val="false"/>
          <w:i w:val="false"/>
          <w:caps w:val="false"/>
          <w:smallCaps w:val="false"/>
          <w:sz w:val="20"/>
          <w:shd w:fill="FFFFFF" w:val="clear"/>
        </w:rPr>
        <w:t>that it has received a written notification letter (the “Compliance Notice”) from the Listing Qualifications Department of the Nasdaq Stock Market LLC (“Nasdaq”) dated September 17, 2026, informing the Company that it has regained compliance with Nasdaq Listing Rule 5450(a)(1)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announced on July 23, 2026, Viomi received a notification letter from Nasdaq indicating that the Company was not in compliance with the Minimum Bid Price Requirement, as the closing bid price of the Company’s American Depositary Shares (the “ADSs”) was below US$1.00 per ADS for 30 consecutive business days. According to the Compliance Notice, the closing bid price of the Company’s ADSs has been at US$1.00 per ADS or greater for 10 consecutive business days from September 2 to September 16, 2026, and the Company has regained compliance with the Minimum Bid Price Requirement, and the matter is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Viomi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Viomi’s mission is “AI for Better water,” utilizing AI technology to provide better drinking water solutions for households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industry-leading technology company in home water solutions,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https://ir.viomi.com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estimated revenue and income from operations from the Continuing Businesses, the business outlook and quotations from management in this announcement, as well as Viomi’s strategic and operational plans, contain forward-looking statements. Viomi may also make written or oral forward-looking statements in its periodic reports to the United States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the cooperation with Xiaomi; recognition of the Company’s brand; trends and competition in the global IoT-enabled smart home market; the development and commercialization of new products, services and technologies; governmental policies and the relevant regulatory environment relating to the Company’s industry and/or aspects of its business operations; general economic conditions in China and around the globe; and assumptions underlying or related to any of the foregoing. Further information regarding these and other risks is included in the Company’s filings with the SEC. All information provided in this press release is as of the date of this press release, and the Company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investor and media inquiries, please 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Ji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ir@viomi.com.cn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+86-10-6508-0677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828</Words>
  <Characters>5054</Characters>
  <CharactersWithSpaces>5891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