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VIOMI TECHNOLOGY CO., LTD</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Wansheng Square, Rm 1302 Tower C, Xingang East Road, Haizhu District</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Guangzhou, Guangdong, 510220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2280"/>
        <w:spacing w:after="0" w:line="207" w:lineRule="exact"/>
        <w:tabs>
          <w:tab w:leader="none" w:pos="7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VIOMI TECHNOLOGY CO., LTD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Xiaoping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Xiaoping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 Reports Second Half and Full Year 2025 Unaudited Financial Results and Announces Special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GUANGZHOU, China, March 25, 2026 – Viomi Technology Co., Ltd (“Viomi” or the “Company”) (NASDAQ: VIOT), a leading technology company for home water solutions in China, today announced its unaudited financial results for the second half and full year ended December 31, 2025, and declared a special cash dividend.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Half 2025 Financial Overview</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RMB950.6 million (US$135.9 million), representing a decrease of 25.9% from RMB1,282.4 million for the same period of 2024.</w:t>
      </w:r>
    </w:p>
    <w:p>
      <w:pPr>
        <w:spacing w:after="0" w:line="3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of the Company </w:t>
      </w:r>
      <w:r>
        <w:rPr>
          <w:rFonts w:ascii="Times New Roman" w:cs="Times New Roman" w:eastAsia="Times New Roman" w:hAnsi="Times New Roman"/>
          <w:sz w:val="18"/>
          <w:szCs w:val="18"/>
          <w:color w:val="auto"/>
        </w:rPr>
        <w:t>was RMB21.2 million (US$3.0 million), representing a decrease of 70.2%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RMB71.3 million for the same period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Overview</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RMB2,428.2 million (US$347.2 million), representing an increase of 14.6% from RMB2,119.0 million for 2024.</w:t>
      </w:r>
    </w:p>
    <w:p>
      <w:pPr>
        <w:spacing w:after="0" w:line="3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of the Company </w:t>
      </w:r>
      <w:r>
        <w:rPr>
          <w:rFonts w:ascii="Times New Roman" w:cs="Times New Roman" w:eastAsia="Times New Roman" w:hAnsi="Times New Roman"/>
          <w:sz w:val="18"/>
          <w:szCs w:val="18"/>
          <w:color w:val="auto"/>
        </w:rPr>
        <w:t>was RMB141.6 million (US$20.3 million), representing a slight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 from RMB144.4 million for 2024.</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Xiaoping Chen, Founder and CEO of Viomi, commented, “In the second half of 2025, amid the phase-down of national subsidy scheme for home appliance trade-ins and the Company’s strategic investments in overseas market expansion, new product development, and brand building, we delivered total revenue of RMB950.6 million and net income attributable to ordinary shareholders of the Company of RMB 21.2 million. For the full year, our core business remained solid, achieving total revenue of RMB2.4 billion, representing a year-on-year increase of 14.6%. Net income attributable to ordinary shareholders of the Company stood at RMB141.6 million, with a net profit margin of 5.8%.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year, Viomi’s ‘Global Water’ strategy has continued to gain momentum, highlighted by the establishment of a multinational professional team covering North America, Southeast Asia, and Europe. Empowered by a global perspective across technology R&amp;D, market expansion, and business development, we have consistently achieved technological breakthroughs addressing users’ diverse drinking water needs. By leveraging AI technology to enhance user product experiences, we’re establishing Viomi as a world-leading water technology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North American market, our Amazon channel delivered an outstanding performance in the second half of the year, achieving triple-digit growth in sales on a sequential basis. During the Black Friday promotional season, our products ranked 19th in the water purifier category and fourth in the under-sink RO tankless segment. Our premium flagship product, the M1 mineral water purifier, equipped with 9-stage precision filtration and an AI-powered interactive faucet, further enriched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jc w:val="both"/>
        <w:ind w:firstLine="8"/>
        <w:spacing w:after="0" w:line="219" w:lineRule="auto"/>
        <w:tabs>
          <w:tab w:leader="none" w:pos="12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August 2024, Viomi completed a strategic reorganization, divesting the Company’s IoT@Home portfolio products, excluding range hoods, gas stoves, and water heaters (the “Divested Business”). As a result, the Divested Business has been deconsolidated from the Company, and its historical financial results are reported as discontinued operations in the Company’s consolidated financial statements. The financial information and non-GAAP financial information disclosed in this press release are presented based on continuing operations, unless specifically stated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“In the Southeast Asian market, we continued to deepen our strategic cooperation with offline channels in Malaysia through the launch of the compact INNO mineral water dispenser, tailored for the local market and featuring both mineralization and cooling functions. Viomi’s brand ambassador in Malaysia, celebrated singer Shila Amzah, attended the launch event for this innovative product integrating healthy hydration and smart technology.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terms of brand building, we continued to strengthen our ‘Technology + Health’ brand image. In 2025, we were honored to engage renowned actress Huang Shengyi to serve as Viomi’s brand ambassador in China and Shila Amzah in Malaysia. We also partnered with Olympic champion Tian Liang as a brand friend and invited well-known artist Ye Yiqian to serve as our product experience officer. In April 2026, we will unveil our new brand series at the WQA Convention &amp; Exposition in Miami, USA, showcasing our latest AI technologies and innovations at one of the most influential professional events in the global water treatment industry. Through our smarter, healthier, and more eco-friendly water solutions, we will present Viomi’s redefined vision of ‘Better Water’ to partners in North America and around the world.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manufacturing and R&amp;D front, we continued to solidify our core competitiveness. We achieved a key milestone in the global expansion of Viomi’s ‘Water Purifier Gigafactory,’ commencing full operations of our overseas premium production line. The first batch of new products is expected to be ready for mass production in the second quarter of 2026. This production line integrates modular functions such as instant heating, instant cooling, and ice making, providing agile supply chain support to meet the differentiated needs of markets in North America, Europe, and Southeast Asia. On the technology side, our ‘Advanced Technology’ laboratory continues to drive innovation. Meanwhile, our ‘Product Compliance’ laboratory has established testing protocols aligned with authoritative certification systems in Europe, America, Southeast Asia, and other regions, further strengthening market trust in our products sold overseas. As of the end of 2025, our global patent applications had surpassed 1,950, spanning 14 countries and regions. We have built highly competitive technological capabilities in areas such as AI-driven water quality algorithms, precision mineral control, and intelligent self-cleaning, laying a solid foundation for the continued expansion of our global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2026, we will pursue our ‘Global Water’ vision with even greater determination, targeting breakthroughs in four key areas: First, for overseas markets, we will deepen our presence in core strategic markets such as North America and Southeast Asia, while actively expanding into more countries and regions. Second, to advance our differentiation in the domestic market, we will further strengthen the health-centric positioning of the Kunlun series with its ‘alkaline mineral’ concept. Through technological differentiation and product innovation, we will strive to lead quality upgrades and enhance Viomi’s industry standing in the water purification market. Third, on the technology front, we will deepen the integration of AI across water purification scenarios, making technological innovation the core engine that enables Viomi to navigate market cycles and achieve sustained growth. Fourth, we will continue to strengthen collaborations with global strategic partners, fully leveraging the scale effect of the ‘Water Purifier Gigafactory’ to elevate both scale and efficiency. Through this committed, long-term approach, Viomi will continue to create value for global users and deliver sustainable returns to our shareholders,” Mr. Chen concluded.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Half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revenues were RMB950.6 million (US$135.9 million), a decrease of 25.9% from RMB1,282.4 million for the same period of 2024, primarily due to the decrease in the home water systems.</w:t>
      </w:r>
    </w:p>
    <w:p>
      <w:pPr>
        <w:spacing w:after="0" w:line="160" w:lineRule="exact"/>
        <w:rPr>
          <w:sz w:val="20"/>
          <w:szCs w:val="20"/>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water systems. </w:t>
      </w:r>
      <w:r>
        <w:rPr>
          <w:rFonts w:ascii="Times New Roman" w:cs="Times New Roman" w:eastAsia="Times New Roman" w:hAnsi="Times New Roman"/>
          <w:sz w:val="18"/>
          <w:szCs w:val="18"/>
          <w:color w:val="auto"/>
        </w:rPr>
        <w:t>Revenues from home water systems were RMB628.2 million (US$89.8 million), a decrease of 32.1% from RMB925.7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of 2024, primarily due to the decline in national subsidies for water purifiers.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Consumables. </w:t>
      </w:r>
      <w:r>
        <w:rPr>
          <w:rFonts w:ascii="Times New Roman" w:cs="Times New Roman" w:eastAsia="Times New Roman" w:hAnsi="Times New Roman"/>
          <w:sz w:val="18"/>
          <w:szCs w:val="18"/>
          <w:color w:val="auto"/>
        </w:rPr>
        <w:t>Revenues from consumables were RMB112.2 million (US$16.0 million), a decrease of 17.9% from RMB136.7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2024, primarily due to decreased sales of water purifier filters to Xiaomi.</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Kitchen appliances and others. </w:t>
      </w:r>
      <w:r>
        <w:rPr>
          <w:rFonts w:ascii="Times New Roman" w:cs="Times New Roman" w:eastAsia="Times New Roman" w:hAnsi="Times New Roman"/>
          <w:sz w:val="18"/>
          <w:szCs w:val="18"/>
          <w:color w:val="auto"/>
        </w:rPr>
        <w:t>Revenues from kitchen appliances and others were RMB210.2 million (US$30.1 million), a decrease of 4.5%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RMB220.0 million for the same period of 2024, primarily due to a reduction in orders from Xiaomi, as well as a contraction of Viomi-branded products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RMB223.8 million (US$32.0 million), compared to RMB289.5 million for the same period of 2024. Gross margin was 23.5%, compared to 22.6% for the same period of 2024. The slight increase in gross margin was mainly due to the elimination of the impact of one-off costs incurred during the divestment of certain IoT@Home businesses and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RMB248.0 million (US$35.5 million), an increase of 12.0% from RMB221.5 million for the same period of 2024, due to increased selling and marketing expenses, partially offset by a decrease in general and administrative expenses.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were RMB76.3 million (US$10.9 million), an increase of 12.7% from RMB67.7 million for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attributable to an increased investment in new product development.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were RMB148.6 million (US$21.3 million), an increase of 29.8% from RMB114.6 million for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an increase in brand promotion investment, as well as higher personnel costs resulting from channel expansion.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were RMB23.1 million (US$3.3 million), a decrease of 41.2% from RMB39.3 million for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decreased employee compensation costs and allowance for credit losses.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RMB9.7 million (US$1.4 million), compared to RMB83.8 million for the same period of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RMB16.6 million (US$2.4 million), compared to RMB89.7 million for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0"/>
          <w:szCs w:val="20"/>
          <w:color w:val="auto"/>
        </w:rPr>
      </w:pPr>
    </w:p>
    <w:p>
      <w:pPr>
        <w:ind w:firstLine="8"/>
        <w:spacing w:after="0" w:line="195" w:lineRule="auto"/>
        <w:tabs>
          <w:tab w:leader="none" w:pos="121"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income” is defined as income from operations excluding share-based compensation expenses. See “Use of Non-GAAP Measures” and “Reconciliation of GAAP and Non-GAAP Results”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ordinary shareholders of the Company was RMB21.2 million (US$3.0 million), a decrease of 70.2% from RMB71.3 million for the same period of 2024, mainly due to the decline in scale combined with increased investment in market expansion and brand building.</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Non-GAAP net income attributable to ordinary shareholders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the Company was RMB28.2 million (US$4.0 million), a decrease of 63.5% from RMB77.2 million for the same 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RMB806.6 million (US$115.3 million), restricted cash of RMB164.4 million (US$23.5 million), short-term deposits of RMB258.0 million (US$36.9 million), and short-term investments of RMB82.6 million (US$11.8 million), compared to RMB1,026.2 million, RMB141.3 million, RMB115.0 million, and RMB72.5 million, respectively,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RMB2,428.2 million (US$347.2 million), an increase of 14.6% from RMB2,119.0 million for 2024.</w:t>
      </w:r>
    </w:p>
    <w:p>
      <w:pPr>
        <w:spacing w:after="0" w:line="223" w:lineRule="exact"/>
        <w:rPr>
          <w:sz w:val="20"/>
          <w:szCs w:val="20"/>
          <w:color w:val="auto"/>
        </w:rPr>
      </w:pPr>
    </w:p>
    <w:p>
      <w:pPr>
        <w:ind w:left="660" w:right="2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water systems. </w:t>
      </w:r>
      <w:r>
        <w:rPr>
          <w:rFonts w:ascii="Times New Roman" w:cs="Times New Roman" w:eastAsia="Times New Roman" w:hAnsi="Times New Roman"/>
          <w:sz w:val="18"/>
          <w:szCs w:val="18"/>
          <w:color w:val="auto"/>
        </w:rPr>
        <w:t>Revenues from home water systems were RMB1,686.6 million (US$241.2 million), an increase of 12.6% from RMB1,498.4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2024.</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Consumables. </w:t>
      </w:r>
      <w:r>
        <w:rPr>
          <w:rFonts w:ascii="Times New Roman" w:cs="Times New Roman" w:eastAsia="Times New Roman" w:hAnsi="Times New Roman"/>
          <w:sz w:val="18"/>
          <w:szCs w:val="18"/>
          <w:color w:val="auto"/>
        </w:rPr>
        <w:t>Revenues from consumables were RMB235.4 million (US$33.7 million), a decrease of 15.2% from RMB277.7 million for 2024.</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Kitchen appliances and others. </w:t>
      </w:r>
      <w:r>
        <w:rPr>
          <w:rFonts w:ascii="Times New Roman" w:cs="Times New Roman" w:eastAsia="Times New Roman" w:hAnsi="Times New Roman"/>
          <w:sz w:val="18"/>
          <w:szCs w:val="18"/>
          <w:color w:val="auto"/>
        </w:rPr>
        <w:t>Revenues from kitchen appliances and others were RMB506.2 million (US$72.4 million), an increase of 47.6%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RMB342.9 million for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RMB615.0 million (US$87.9 million), compared to RMB548.7 million for 2024. Gross margin was 25.3%, compared to 25.9% for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were RMB529.4 million (US$75.7 million), an increase of 24.6% from RMB424.9 million for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were RMB165.6 million (US$23.7 million), an increase of 15.9% from RMB142.9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were RMB277.7 million (US$39.7 million), an increase of 31.5% from RMB211.2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were RMB86.1 million (US$12.3 million), an increase of 21.6% from RMB70.8 million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4"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year-over-year data are all presented in the continuing operations basis, unless otherwise specified.</w:t>
      </w:r>
    </w:p>
    <w:p>
      <w:pPr>
        <w:spacing w:after="0" w:line="22" w:lineRule="exact"/>
        <w:rPr>
          <w:sz w:val="20"/>
          <w:szCs w:val="20"/>
          <w:color w:val="auto"/>
        </w:rPr>
      </w:pPr>
    </w:p>
    <w:p>
      <w:pPr>
        <w:jc w:val="both"/>
        <w:ind w:firstLine="8"/>
        <w:spacing w:after="0" w:line="210" w:lineRule="auto"/>
        <w:tabs>
          <w:tab w:leader="none" w:pos="143"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ordinary shareholders of the Company” is defined as net income attributable to ordinary shareholders of the Company excluding share-based compensation expenses. See “Use of Non-GAAP Measures” and “Reconciliation of GAAP and Non-GAAP Results”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RMB128.6 million (US$18.4 million), compared to RMB156.3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income was RMB142.6 million (US$20.4 million), compared to RMB172.8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29"/>
          <w:szCs w:val="29"/>
          <w:b w:val="1"/>
          <w:bCs w:val="1"/>
          <w:color w:val="auto"/>
          <w:vertAlign w:val="superscript"/>
        </w:rPr>
        <w:t>5</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ordinary shareholders of the Company was RMB141.6 million (US$20.3 million), a decrease of 1.9% from RMB144.4 million for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Non-GAAP net income attributable to ordinary shareholders of the Company was RMB155.7 million (US$22.3 million), a decrease of 3.2% from RMB160.8 million for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today announced that its Board of Directors has approved a special cash dividend of US$0.022 per ordinary share on its outstanding shares to shareholders of record as of the close of trading on April 06,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American Depositary Shares (“ADS”), each representing three ordinary shares of the Company, are accordingly entitled to a cash dividend of US$0.066 per ADS. Deutsche Bank Trust Company Americas, the depositary bank for the Company’s ADS program, expects to pay out this dividend to ADS holders on or about April 15,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 conference call at 8:00 a.m. Eastern Time on Wednesday, March 25, 2026 (8:00 p.m. Beijing/Hong Kong time on March 25, 2026) to discuss financial results and answer questions from investors and analysts.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complete online registration using the link provided below prior to the scheduled call start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u w:val="single" w:color="auto"/>
          <w:color w:val="auto"/>
        </w:rPr>
        <w:t>https://register-conf.media-server.com/register/BI0c8f62d3a4804d04b0015510ab07d952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the conference call, including dial-in numbers, and a unique access PIN. To join the conference, please dial the provided number, enter your PIN, and you will join the conference.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http://ir.viomi.com</w:t>
      </w:r>
      <w:r>
        <w:rPr>
          <w:rFonts w:ascii="Times New Roman" w:cs="Times New Roman" w:eastAsia="Times New Roman" w:hAnsi="Times New Roman"/>
          <w:sz w:val="18"/>
          <w:szCs w:val="18"/>
          <w:color w:val="auto"/>
        </w:rPr>
        <w:t>. An archived replay will remain available for 12 months following the live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year-over-year data are all presented in the continuing operations basis,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Viomi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Viomi’s mission is “AI for Better water,” utilizing AI technology to provide better drinking water solutions for households worldwide.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industry-leading technology company in home water systems,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http://ir.viomi.com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non-GAAP operating income/(loss), non-GAAP net income/(loss), and non-GAAP net income/(loss) attributable to ordinary shareholders of the Company, in evaluating its operating results and for financial and operational decision-making purposes. Non-GAAP operating income/(loss) is income/(loss) from operations excluding share-based compensation expenses. Non-GAAP net income/(loss) is net income/(loss) excluding share-based compensation expenses. Non-GAAP net income/(loss) attributable to ordinary shareholders of the Company is net income/(loss) attributable to ordinary shareholders excluding share-based compensation expenses. The non-GAAP adjustments do not have any tax impact as share-based compensation expenses are non-deductible for income tax purposes.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non-GAAP financial measures help identify underlying trends in its business by excluding the impact of share-based compensation expenses, which are non-cash charges, and these measures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or construed as alternative to income from operations, net income, or any other measure of performance or as an indicator of the Company’s operating performance. Investors are encouraged to review the historical non-GAAP financial measures to the most directly comparable GAAP measures. Non-GAAP financial measures presented here may not be comparable to similarly titled measures presented by other companies. Other companies may calculate similarly titled measures differently, limiting their usefulness as comparative measures to the Company’s data. We encourage investors and others to review its financial information in its entirety and not rely on a single financial measure. Reconciliations of the Company’s non-GAAP financial measures to the most directly comparable GAAP measures are included at the end of this press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is primarily conducted in China and the significant majority of revenues generated are denominated in Renminbi (“RMB”). This announcement contains currency conversions of RMB amounts into U.S. dollars (“US$”) solely for the convenience of the reader. Unless otherwise noted, all translations from RMB to US$ are made at a rate of RMB6.9931 to US$1.00, the effective noon buying rate for December 31, 2025, as set forth in the H.10 statistical release of the Federal Reserve Board. No representation is made that the RMB amounts could have been, or could be, converted, realized or settled into US$ at that rate on for December 31, 2025, or at any other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estimated revenue and income from operations from the Continuing Businesses, the business outlook and quotations from management in this announcement, as well as Viomi’s strategic and operational plans, contain forward-looking statements. Viomi may also make written or oral forward-looking statements in its periodic reports to the United States Securities and Exchange Commission (the “SEC”), in its annual report to shareholders, in press releases and other written materials and in oral statements made by its officers, directors or employees to Fourth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the cooperation with Xiaomi, the recognition of the Company’s brand; trends and competition in global IoT-enabled smart home market; development and commercialization of new products, services and technologies; governmental policies and relevant regulatory environment relating to the Company’s industry and/or aspects of the business operations and general economic conditions in China and around the globe,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Viomi Technology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ir@viomi.com.cn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viomi@tpg-ir.com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viomi@tpg-ir.com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RMB</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1,026,188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806,599</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115,342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141,292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164,431</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115,014</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257,950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72,500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82,598</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from third parties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24,105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24,535</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from related parties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591,221</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340,173</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48,644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from related parties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11,234</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112,325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126,879</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71,363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157,096</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22,470</w:t>
            </w: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2,165,242</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1,960,461</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280,346</w:t>
            </w:r>
          </w:p>
        </w:tc>
      </w:tr>
      <w:tr>
        <w:trPr>
          <w:trHeight w:val="209"/>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18,053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19,055</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315,309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305,432</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20,101</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9,698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8,415</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8,524</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6,255</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3,382</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1,646</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57,904</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56,631</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8,098</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7,588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12,952</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r>
      <w:tr>
        <w:trPr>
          <w:trHeight w:val="210"/>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420,458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430,487</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61,557</w:t>
            </w:r>
          </w:p>
        </w:tc>
      </w:tr>
      <w:tr>
        <w:trPr>
          <w:trHeight w:val="209"/>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2,585,700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2,390,948</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341,903</w:t>
            </w:r>
          </w:p>
        </w:tc>
      </w:tr>
      <w:tr>
        <w:trPr>
          <w:trHeight w:val="210"/>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payable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772,151</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517,878</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74,056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11,537</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10,153</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168,127</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157,043</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9,736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1,439</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2,037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 due within one year</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29,300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25,061</w:t>
            </w: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3,584</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1,043,723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753,480</w:t>
            </w: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107,747</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 – non-current portion</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14,492</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53,117</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75,945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51,666</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92,220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105,204</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15,044</w:t>
            </w:r>
          </w:p>
        </w:tc>
      </w:tr>
      <w:tr>
        <w:trPr>
          <w:trHeight w:val="209"/>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1,135,943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858,684</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122,791</w:t>
            </w:r>
          </w:p>
        </w:tc>
      </w:tr>
      <w:tr>
        <w:trPr>
          <w:trHeight w:val="452"/>
        </w:trPr>
        <w:tc>
          <w:tcPr>
            <w:tcW w:w="474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RMB</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(US$0.00001 par value;</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4,800,000,000 shares authorized; 101,059,544 and 99,200,641</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(US$0.00001 par value; 150,000,000</w:t>
            </w: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102,764,550 and 102,764,548 shares issued</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December 31, 2024 and December 31,</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(85,426)</w:t>
            </w: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(103,085)</w:t>
            </w: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(14,741)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1,374,451</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1,414,499</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202,271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153,125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226,317</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32,363</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2,279</w:t>
            </w: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(11,080)</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(1,584)</w:t>
            </w:r>
          </w:p>
        </w:tc>
      </w:tr>
      <w:tr>
        <w:trPr>
          <w:trHeight w:val="209"/>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shareholders of the Company</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1,444,441</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1,526,663</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218,311</w:t>
            </w:r>
          </w:p>
        </w:tc>
      </w:tr>
      <w:tr>
        <w:trPr>
          <w:trHeight w:val="209"/>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5,316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5,601</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0"/>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1,449,757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1,532,264</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219,112</w:t>
            </w:r>
          </w:p>
        </w:tc>
      </w:tr>
      <w:tr>
        <w:trPr>
          <w:trHeight w:val="210"/>
        </w:trPr>
        <w:tc>
          <w:tcPr>
            <w:tcW w:w="47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2,585,700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2,390,948</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341,903</w:t>
            </w:r>
          </w:p>
        </w:tc>
      </w:tr>
      <w:tr>
        <w:trPr>
          <w:trHeight w:val="425"/>
        </w:trPr>
        <w:tc>
          <w:tcPr>
            <w:tcW w:w="474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11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40" w:type="dxa"/>
            <w:vAlign w:val="bottom"/>
          </w:tcPr>
          <w:p>
            <w:pPr>
              <w:spacing w:after="0"/>
              <w:rPr>
                <w:sz w:val="16"/>
                <w:szCs w:val="16"/>
                <w:color w:val="auto"/>
              </w:rPr>
            </w:pPr>
          </w:p>
        </w:tc>
        <w:tc>
          <w:tcPr>
            <w:tcW w:w="13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Pr>
          <w:p>
            <w:pPr>
              <w:spacing w:after="0"/>
              <w:rPr>
                <w:sz w:val="20"/>
                <w:szCs w:val="20"/>
                <w:color w:val="auto"/>
              </w:rPr>
            </w:pPr>
          </w:p>
        </w:tc>
        <w:tc>
          <w:tcPr>
            <w:tcW w:w="12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6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 related party</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1,146,448</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853,823</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122,097</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1,819,098</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2,214,789</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316,711</w:t>
            </w: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135,910</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96,784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13,840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299,884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213,437</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30,521</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950,607</w:t>
            </w:r>
          </w:p>
        </w:tc>
        <w:tc>
          <w:tcPr>
            <w:tcW w:w="3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135,937</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2,118,982</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2,428,226</w:t>
            </w: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347,232</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(992,863)</w:t>
            </w: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(726,759)</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(103,927)</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(1,570,276)</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(1,813,226)</w:t>
            </w:r>
          </w:p>
        </w:tc>
        <w:tc>
          <w:tcPr>
            <w:tcW w:w="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(259,288)</w:t>
            </w:r>
          </w:p>
        </w:tc>
      </w:tr>
      <w:tr>
        <w:trPr>
          <w:trHeight w:val="210"/>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289,495</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223,848</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32,010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548,706</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615,000</w:t>
            </w: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87,944</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(67,682)</w:t>
            </w: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(76,280)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(10,908)</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(142,884)</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(165,593)</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(23,679)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(114,563)</w:t>
            </w: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(148,647)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(21,257)</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(211,173)</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(277,681)</w:t>
            </w:r>
          </w:p>
        </w:tc>
        <w:tc>
          <w:tcPr>
            <w:tcW w:w="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(39,708)</w:t>
            </w: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(39,301)</w:t>
            </w: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(23,094)</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(3,302)</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(70,807)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(86,123)</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(12,315)</w:t>
            </w: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(221,546)</w:t>
            </w: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(248,021)</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(35,467)</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(424,864)</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(529,397)</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(75,702)</w:t>
            </w:r>
          </w:p>
        </w:tc>
      </w:tr>
      <w:tr>
        <w:trPr>
          <w:trHeight w:val="209"/>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15,872</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33,880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4,845</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32,492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42,951</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6,142</w:t>
            </w:r>
          </w:p>
        </w:tc>
      </w:tr>
      <w:tr>
        <w:trPr>
          <w:trHeight w:val="209"/>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83,821</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9,707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156,334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128,554</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18,384</w:t>
            </w: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(loss) income and short-term</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(4,013)</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7,846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1,122</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5,264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26,533</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161,598</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154,587</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credits (expenses)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(8,353)</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4,348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622</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(16,913)</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(12,658)</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(1,810)</w:t>
            </w:r>
          </w:p>
        </w:tc>
      </w:tr>
      <w:tr>
        <w:trPr>
          <w:trHeight w:val="209"/>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71,455</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21,401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144,685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141,929</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20,297</w:t>
            </w: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(14,680)</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(82,341)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56,775</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21,401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62,344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141,929</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20,297</w:t>
            </w: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(loss) income attributable to the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3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(All amounts in thousands, except shares, ADS, per share and per ADS data)</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income attributable to ordinary shareholders of the Company</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tcBorders>
              <w:bottom w:val="single" w:sz="8" w:color="auto"/>
            </w:tcBorders>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11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80" w:type="dxa"/>
            <w:vAlign w:val="bottom"/>
          </w:tcPr>
          <w:p>
            <w:pPr>
              <w:spacing w:after="0"/>
              <w:rPr>
                <w:sz w:val="16"/>
                <w:szCs w:val="16"/>
                <w:color w:val="auto"/>
              </w:rPr>
            </w:pPr>
          </w:p>
        </w:tc>
        <w:tc>
          <w:tcPr>
            <w:tcW w:w="13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0" w:type="dxa"/>
            <w:vAlign w:val="bottom"/>
          </w:tcPr>
          <w:p>
            <w:pPr>
              <w:spacing w:after="0"/>
              <w:rPr>
                <w:sz w:val="16"/>
                <w:szCs w:val="16"/>
                <w:color w:val="auto"/>
              </w:rPr>
            </w:pPr>
          </w:p>
        </w:tc>
      </w:tr>
      <w:tr>
        <w:trPr>
          <w:trHeight w:val="2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0"/>
                <w:szCs w:val="20"/>
                <w:color w:val="auto"/>
              </w:rPr>
            </w:pPr>
          </w:p>
        </w:tc>
        <w:tc>
          <w:tcPr>
            <w:tcW w:w="13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4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20" w:type="dxa"/>
            <w:vAlign w:val="bottom"/>
          </w:tcPr>
          <w:p>
            <w:pPr>
              <w:spacing w:after="0"/>
              <w:rPr>
                <w:sz w:val="20"/>
                <w:szCs w:val="20"/>
                <w:color w:val="auto"/>
              </w:rPr>
            </w:pPr>
          </w:p>
        </w:tc>
      </w:tr>
      <w:tr>
        <w:trPr>
          <w:trHeight w:val="228"/>
        </w:trPr>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4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9"/>
                <w:szCs w:val="19"/>
                <w:color w:val="auto"/>
              </w:rPr>
            </w:pPr>
          </w:p>
        </w:tc>
      </w:tr>
      <w:tr>
        <w:trPr>
          <w:trHeight w:val="427"/>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57,431</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21,249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63,414</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141,644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20,256</w:t>
            </w:r>
          </w:p>
        </w:tc>
      </w:tr>
      <w:tr>
        <w:trPr>
          <w:trHeight w:val="20"/>
        </w:trPr>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-290830</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760" w:space="620"/>
            <w:col w:w="7860"/>
          </w:cols>
          <w:pgMar w:left="320" w:top="657" w:right="3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Including</w:t>
            </w:r>
            <w:r>
              <w:rPr>
                <w:rFonts w:ascii="SimSun" w:cs="SimSun" w:eastAsia="SimSun" w:hAnsi="SimSun"/>
                <w:sz w:val="18"/>
                <w:szCs w:val="18"/>
                <w:color w:val="auto"/>
              </w:rPr>
              <w:t>：</w:t>
            </w: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4"/>
        </w:trPr>
        <w:tc>
          <w:tcPr>
            <w:tcW w:w="3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 of</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71,258</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21,249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144,364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141,644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00" w:type="dxa"/>
            <w:vAlign w:val="bottom"/>
          </w:tcPr>
          <w:p>
            <w:pPr>
              <w:spacing w:after="0"/>
              <w:rPr>
                <w:sz w:val="20"/>
                <w:szCs w:val="20"/>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 of</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(13,827)</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(80,950)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8,959</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(9,484)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(1,356)</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16,607</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(13,359)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3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3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 of</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66,390</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11,765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1,683</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80,021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128,285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Pr>
          <w:p>
            <w:pPr>
              <w:spacing w:after="0"/>
              <w:rPr>
                <w:sz w:val="21"/>
                <w:szCs w:val="21"/>
                <w:color w:val="auto"/>
              </w:rPr>
            </w:pPr>
          </w:p>
        </w:tc>
      </w:tr>
      <w:tr>
        <w:trPr>
          <w:trHeight w:val="425"/>
        </w:trPr>
        <w:tc>
          <w:tcPr>
            <w:tcW w:w="338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-2338070</wp:posOffset>
            </wp:positionV>
            <wp:extent cx="43180" cy="88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Borders>
              <w:bottom w:val="single" w:sz="8" w:color="auto"/>
            </w:tcBorders>
            <w:gridSpan w:val="5"/>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11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60" w:type="dxa"/>
            <w:vAlign w:val="bottom"/>
          </w:tcPr>
          <w:p>
            <w:pPr>
              <w:spacing w:after="0"/>
              <w:rPr>
                <w:sz w:val="16"/>
                <w:szCs w:val="16"/>
                <w:color w:val="auto"/>
              </w:rPr>
            </w:pPr>
          </w:p>
        </w:tc>
        <w:tc>
          <w:tcPr>
            <w:tcW w:w="13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20"/>
                <w:szCs w:val="20"/>
                <w:color w:val="auto"/>
              </w:rPr>
            </w:pPr>
          </w:p>
        </w:tc>
        <w:tc>
          <w:tcPr>
            <w:tcW w:w="1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56"/>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Net (loss) income per ADS</w:t>
            </w:r>
            <w:r>
              <w:rPr>
                <w:rFonts w:ascii="Times New Roman" w:cs="Times New Roman" w:eastAsia="Times New Roman" w:hAnsi="Times New Roman"/>
                <w:sz w:val="29"/>
                <w:szCs w:val="29"/>
                <w:b w:val="1"/>
                <w:bCs w:val="1"/>
                <w:color w:val="auto"/>
                <w:vertAlign w:val="superscript"/>
              </w:rPr>
              <w:t>*</w:t>
            </w: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0.30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ADS used 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calculating Non-GAAP net (loss)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ADS</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68,280,399</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68,045,667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68,045,667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68,262,595</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67,999,290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67,999,290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68,280,399</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68,262,595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68,967,931</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71,019,394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71,019,394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68,896,972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70,306,831</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70,306,831</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68,967,931</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68,896,972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income per share attributable</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 ordinary shareholders of the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0.69</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0.69</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net (loss)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204,841,197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204,137,000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204,137,000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204,787,786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203,997,871</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203,997,871</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204,841,197</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204,787,786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206,903,793</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213,058,181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213,058,181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206,690,917</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210,920,493</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210,920,493</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206,903,793</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206,690,917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ADS represents 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11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80" w:type="dxa"/>
            <w:vAlign w:val="bottom"/>
          </w:tcPr>
          <w:p>
            <w:pPr>
              <w:spacing w:after="0"/>
              <w:rPr>
                <w:sz w:val="16"/>
                <w:szCs w:val="16"/>
                <w:color w:val="auto"/>
              </w:rPr>
            </w:pPr>
          </w:p>
        </w:tc>
        <w:tc>
          <w:tcPr>
            <w:tcW w:w="13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0"/>
                <w:szCs w:val="20"/>
                <w:color w:val="auto"/>
              </w:rPr>
            </w:pPr>
          </w:p>
        </w:tc>
        <w:tc>
          <w:tcPr>
            <w:tcW w:w="13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6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Share-based compensation was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in operating expenses as follows:</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4,579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5,537</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2,613</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2,113</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8,151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5,105</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2,329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334</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3,439</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432"/>
        </w:trPr>
        <w:tc>
          <w:tcPr>
            <w:tcW w:w="3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11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80" w:type="dxa"/>
            <w:vAlign w:val="bottom"/>
          </w:tcPr>
          <w:p>
            <w:pPr>
              <w:spacing w:after="0"/>
              <w:rPr>
                <w:sz w:val="16"/>
                <w:szCs w:val="16"/>
                <w:color w:val="auto"/>
              </w:rPr>
            </w:pPr>
          </w:p>
        </w:tc>
        <w:tc>
          <w:tcPr>
            <w:tcW w:w="13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0"/>
                <w:szCs w:val="20"/>
                <w:color w:val="auto"/>
              </w:rPr>
            </w:pPr>
          </w:p>
        </w:tc>
        <w:tc>
          <w:tcPr>
            <w:tcW w:w="13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6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83,821</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9,707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156,334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128,554</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18,384</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5,900</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16,450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89,721</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16,628</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2,378</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172,784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142,635</w:t>
            </w: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20,398</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56,775</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21,401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62,344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141,929</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20,297</w:t>
            </w: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5,900</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09"/>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62,675</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28,322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4,050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78,794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156,010</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22,311</w:t>
            </w:r>
          </w:p>
        </w:tc>
      </w:tr>
      <w:tr>
        <w:trPr>
          <w:trHeight w:val="209"/>
        </w:trPr>
        <w:tc>
          <w:tcPr>
            <w:tcW w:w="3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ordinary</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57,431</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21,249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63,414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141,644</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20,255</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5,900</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16,450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3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income attributable to</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shareholders of the Company</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63,331</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28,170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79,864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155,725</w:t>
            </w:r>
          </w:p>
        </w:tc>
        <w:tc>
          <w:tcPr>
            <w:tcW w:w="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22,269</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continuing operations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ordinary shareholders of the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71,258</w:t>
            </w: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21,249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144,364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141,644</w:t>
            </w:r>
          </w:p>
        </w:tc>
        <w:tc>
          <w:tcPr>
            <w:tcW w:w="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5,900</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income from continuing</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 attributable to ordinary</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of the Company</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77,158</w:t>
            </w:r>
          </w:p>
        </w:tc>
        <w:tc>
          <w:tcPr>
            <w:tcW w:w="1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28,170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4,029</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160,814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155,725</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22,269</w:t>
            </w:r>
          </w:p>
        </w:tc>
      </w:tr>
      <w:tr>
        <w:trPr>
          <w:trHeight w:val="459"/>
        </w:trPr>
        <w:tc>
          <w:tcPr>
            <w:tcW w:w="3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shares, ADS, per share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Borders>
              <w:bottom w:val="single" w:sz="8" w:color="auto"/>
            </w:tcBorders>
            <w:gridSpan w:val="5"/>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11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60" w:type="dxa"/>
            <w:vAlign w:val="bottom"/>
          </w:tcPr>
          <w:p>
            <w:pPr>
              <w:spacing w:after="0"/>
              <w:rPr>
                <w:sz w:val="16"/>
                <w:szCs w:val="16"/>
                <w:color w:val="auto"/>
              </w:rPr>
            </w:pPr>
          </w:p>
        </w:tc>
        <w:tc>
          <w:tcPr>
            <w:tcW w:w="13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32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20"/>
                <w:szCs w:val="20"/>
                <w:color w:val="auto"/>
              </w:rPr>
            </w:pPr>
          </w:p>
        </w:tc>
        <w:tc>
          <w:tcPr>
            <w:tcW w:w="1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 income per ADS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0.41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0.40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ADS used 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calculating Non-GAAP net (loss)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ADS</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68,280,399</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68,045,667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68,045,667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68,262,595</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67,999,290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67,999,290</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68,280,399</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68,262,595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68,967,931</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71,019,394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71,019,394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68,896,972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70,306,831</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70,306,831</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68,967,931</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68,896,972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(loss) income per</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0.14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0.74</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0.74</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Non-GAAP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per 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204,841,197</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204,137,000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204,137,000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204,787,786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203,997,871</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203,997,871</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204,841,197</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204,787,786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206,903,793</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213,058,181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213,058,181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206,690,917</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210,920,493</w:t>
            </w: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210,920,493</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206,903,793</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206,690,917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non-GAAP adjustments do not have any tax impact as share-based compensation expenses are non-deductible for income tax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2026-03-25T06:01:11Z</dcterms:created>
  <dcterms:modified xsi:type="dcterms:W3CDTF">2026-03-25T06:01:11Z</dcterms:modified>
</cp:coreProperties>
</file>