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f-3.htm"/>
      <w:bookmarkStart w:id="1" w:name="ksformf3"/>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July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F-3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VIOMI TECHNOLOGY CO.,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4880"/>
        <w:gridCol w:w="60"/>
        <w:gridCol w:w="3275"/>
      </w:tblGrid>
      <w:tr>
        <w:trPr/>
        <w:tc>
          <w:tcPr>
            <w:tcW w:w="488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tc>
      </w:tr>
      <w:tr>
        <w:trPr/>
        <w:tc>
          <w:tcPr>
            <w:tcW w:w="488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2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Wansheng Square, Rm 1302 Tower C, Xingang East Road, Haizhu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Guangzhou, Guangdong, 510220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+86 20 8930 9496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and telephone number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Puglisi &amp; Associates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850 Library Avenue, Suite 204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Newark, Delaware 19711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+1 302-738-6680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Haiping Li, Esq.</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Skadden, Arps, Slate, Meagher &amp; Flom LLP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 42/F, Edinburgh Tower</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Landmark</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15 Queen’s Road Central</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Hong Kong</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+852 3740-4700</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of proposed sale to the public: from time to time after the effective date of this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only securities being registered on this Form are being offered pursuant to dividend or interest reinvestment plans, please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righ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Emerging growth company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27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aps w:val="false"/>
                <w:smallCaps w:val="false"/>
              </w:rPr>
            </w:pPr>
            <w:r>
              <w:rPr>
                <w:caps w:val="false"/>
                <w:smallCaps w:val="false"/>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270" w:right="0" w:hanging="27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 acting pursuant to said Section 8(a), may determine.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These securities may not be sold until the registration statement filed with the U.S. Securities and Exchange Commission is effective. This preliminary prospectus is not an offer to sell nor does it seek an offer to buy these securities in any jurisdiction where the offer or sale is not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color w:val="FF0000"/>
          <w:sz w:val="20"/>
        </w:rPr>
      </w:pPr>
      <w:r>
        <w:rPr>
          <w:rFonts w:ascii="Times New Roman;Times;Serif" w:hAnsi="Times New Roman;Times;Serif"/>
          <w:b/>
          <w:i w:val="false"/>
          <w:caps/>
          <w:color w:val="FF0000"/>
          <w:sz w:val="20"/>
        </w:rPr>
        <w:t>SUBJECT TO COMPLETION, DATED July 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offer, issue and sell up to US$100 million or its equivalent in any other currency, currency units, or composite currency or currencies, of our Class A ordinary shares, par value $0.00001 per share, including in the form of American depositary shares, or ADSs, preferred shares, warrants to purchase Class A ordinary shares and preferred shares, subscription rights and a combination of such securities, separately or as units, in one or more offerings. We refer to our Class A ordinary shares, ADSs, preferred shares, warrants, subscription rights and units collectively as “securities” in this prospectus. This prospectus provides a general description of offerings of these securities that we may undertake.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specific terms of any offering in one or more supplements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options to purchase additional securities held by them will be described in the applicable prospectus supplement. For a more complete description of the plan of distribution of these securities, see the section entitled “Plan of Distribution” beginning on page 60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are listed on the Nasdaq Global Select Market, or Nasdaq, under the ticker symbol “VIOT”. On July 7, 2026, the closing price of the ADSs on Nasdaq was US$0.81 per ADS.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General Instruction I.B.5. of Form F-3, in no event will we sell the securities covered hereby in a public primary offering with a value exceeding more than one-third of the aggregate market value of our ordinary shares in any 12-month period so long as the aggregate market value of our issued and outstanding ordinary shares held by non-affiliates remains below US$75,000,000. The aggregate market value of our issued and outstanding ordinary shares held by non-affiliates, or public float, as of July 7, 2026, was approximately US$22.8 million, which was calculated based on 84,611,307 Class A ordinary shares and nil Class B ordinary shares held by non-affiliates and the per ADS price of US$0.81, which was the closing price of the ADSs on July 7, 2026. During the 12 calendar months prior to and including the date of this prospectus, we have not offered or sold any securities pursuant to General Instruction I.B.5 of Form F-3.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these securities involves a high degree of risk. Furthermore, investors should be aware that there are various other risks relating to the securities, the issuer and its subsidiaries, their business and their jurisdictions of operations which investors should familiarize themselves with before making an investment in the securities. Please carefully consider the risks discussed under “Risk Factors” in this prospectus beginning on page 30, in any accompanying prospectus supplement or in our reports filed with the Securities and Exchange Commission that are incorporated by reference in this prospectus before making a decision to invest in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Viomi Technology Co., Ltd is not a Chinese operating company but rather a Cayman Islands holding company that does not conduct business directly and has no equity ownership in the VIEs. We conduct operations in China through (i) our WFOEs and (ii) the VIEs with which we have maintained contractual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laws and regulations restrict and impose conditions on foreign investment in internet and other related businesses in China. According to the Special Administrative Measures (Negative List) for Foreign Investment Access, the provision of internet information services falls within the restricted category and the equity ratio of foreign investment in the enterprises operating the business under the restricted category is subject to the cap of 50%. In addition, although the provision of e-commerce services falls within the permitted category, foreign investments in this business are still restricted by other requirements under related regulations in China. Accordingly, we operate this business in China through the VIEs, and rely on contractual arrangements among our WFOEs, the VIEs and the nominee shareholders of the VIEs to control the business operations of the VIEs. The VIEs are consolidated for accounting purposes, but are not entities in which our Cayman Islands holding company, or our investors, own equity. Revenues contributed by the VIEs accounted for 88.9%, 45.0% and 0.1% of our total revenues for the years ended December 31, 2023, 2024 and 2025, respectively. The VIEs currently include Beijing Yunmi Technology Co., Ltd., or Beijing Viomi, and Guangdong Interconnect Electric Appliances Technology Co., Ltd., or Guangdong Interconnect, and, prior to the completion of the 2024 reorganization transaction, the VIEs include Beijing Viomi and Foshan Yunmi Electric Appliances Technology Co., Ltd., or Foshan Viomi. Prior to the completion of the 2024 reorganization transaction, we operate internet information and e-commerce services business primarily through the former VIE, Foshan Viomi. In the 2024 reorganization transaction, Foshan Viomi agreed to transfer the websites, mobile apps, mini programs operated by it and all the related materials and rights (including but not limited to domain names, databases, codes, software, operational data, materials, documents, information) to Guangdong Interconnect. We have completed the transfer process with Foshan Viomi transfer in November 2025, and after the completion of the transfer, Guangdong Interconnect will replace Foshan Viomi in operating internet information and e-commerce services business. Investors in our ADSs are not purchasing equity interest in the VIEs in China but instead are purchasing equity interest in a holding company incorporated in the Cayman Islands.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series of contractual agreements have been entered into by and among our WFOEs, the VIEs and their respective shareholders, including (i) shareholder voting proxy agreements and equity pledge agreements, which provide us with effective control over the VIEs in China, (ii) exclusive consultation and service agreements, which allow us to receive economic benefits from the VIEs in China, (iii) exclusive option agreements, which provide us with the option to purchase the equity interests in, and assets of, the VIEs, and (iv) equity pledge agreements, under which the shareholders of the VIEs have pledged 100% equity interests in the VIEs to our WFOEs to secure shareholders’ obligations under the exclusive option agreements, the shareholder voting proxy agreements and the equity pledge agreements. Terms contained in each set of contractual arrangements with the VIEs and their respective shareholders are substantially similar. After the completion of our 2024 reorganization transaction, we have terminated the contractual arrangements between Yunmi Hulian Technology (Guangdong) Co., Ltd., or the former WFOE, and Foshan Viomi, which has resulted in Foshan Viomi’s shareholder, Mr. Xiaoping Chen, fully controlling Foshan Viomi and its subsidiaries including Foshan Xiaoxian Hulian Electric Appliances Technology Co., Ltd., Foshan Qutansuo Electric Technology Co., Ltd., Guangdong AI Touch Technology Co., Ltd., and Zhuawa Technology (Guangdong) Co., Ltd. Additionally, Zhumeng Hulian Technology (Guangdong) Co., Ltd., or WFOE II, and Guangdong Interconnect, have entered into a new set of contractual arrangements, as a result of which the Company has controlled Guangdong Interconnect and consolidated its financial results. For more details of these contractual arrangements, see “Item 4. Information on the Company—C. Organizational Structure—Contractual Arrangements with the VIEs and Their Shareholders” in our annual report on Form 20-F for the fiscal year ended December 31, 2025 (“2025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contractual arrangements may not be as effective as direct ownership in providing us with control over the VIEs and we may incur substantial costs to enforce the terms of the arrangements. All of the agreements under the contractual arrangements are governed by PRC laws and provide for the resolution of disputes through arbitration in China. Accordingly, these contracts would be interpreted in accordance with PRC laws and any disputes arising from these contracts would be resolved in accordance with PRC legal procedures. These arrangements have not been tested in arbitral tribunals or courts. Changes in the regulatory environment in China may limit our ability to enforce these contractual arrangements. Further, there are very few precedents and little formal guidance as to how contractual arrangements in the context of a VIE should be interpreted or enforced under PRC laws. There remain significant uncertainties regarding the ultimate outcome of such arbitration should legal action become necessary. See “Item 3. Key Information—D. Risk Factors—Risks Related to Our Corporate Structure—We rely on contractual arrangements with the VIEs and their respective shareholders for substantially all of our business operation, which may not be as effective as direct ownership in providing operational control” and “Item 3. Key Information—D. Risk Factors—Risks Related to Our Corporate Structure—Any failure by the VIEs or their shareholders to perform their obligations under our contractual arrangements with them would have a material and adverse effect on our business, financial condition and results of operations” in our 2025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also substantial uncertainties regarding the interpretation and application of current and future PRC laws, regulations and rules regarding the status of the rights of our Cayman Islands holding company with respect to its contractual arrangements with the VIEs and its nominee shareholders. It is uncertain whether any new PRC laws or regulations relating to VIE structures will be adopted or if adopted, what they would provide. If we or any of the VIEs is found to be in violation of any existing or future PRC laws or regulations, or fail to obtain or maintain any of the required permits or approvals, the applicable PRC regulatory authorities would have broad discretion to take action in dealing with such violations or failures. If the PRC government deems that our contractual arrangements with the VIEs do not comply with PRC regulatory restrictions on foreign investment in relevant industries, or if these regulations or the interpretation of existing regulations change or are interpreted differently in the future, we and the VIEs could be subject to severe penalties or be forced to relinquish our and the VIEs’ interests in those operations. Our holding company, our WFOEs, the VIEs, and investors of our company face uncertainty about potential future actions by the PRC government that could affect the enforceability of the contractual arrangements with the VIEs and, consequently, significantly affect the financial performance of the VIEs and their subsidiaries and our company as a whole. See “Item 3. Key Information—D. Risk Factors—Risks Related to Our Corporate Structure” and “Item 3. Key Information—D. Risk Factors—Risks Related to Doing Business in China—Failure to respond to changes in the regulatory environment in China could adversely affect us” in our 2025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VIEs face various risks and uncertainties related to doing business in China. Our and the VIEs’ business operations are primarily conducted in China, and we and the VIEs are subject to complex and evolving PRC laws and regulations. For example, we and the VIEs face risks associated with regulatory approvals on offshore offerings, anti-monopoly regulatory actions, and oversight on cybersecurity and data privacy. Additionally. the lack of inspection by the Public Company Accounting Oversight Board, or the PCAOB, on our auditors, may impact our ability to conduct certain businesses, accept foreign investments, or list on a United States or other foreign exchange. These risks could result in a material adverse change in our and the VIEs’ operations and the value of the ADSs, significantly limit or completely hinder our ability to continue to offer securities to investors, or cause the value of such securities to significantly decline or become worthless. For a detailed description of risks related to doing business in China, please refer to risks disclosed under “Item 3. Key Information—D. Risk Factors—Risks Related to Doing Business in China” in our 2025 Form 20-F.</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Holding Foreign Companies Accountable Act, which was enacted on December 18, 2020 and further amended by the Consolidated Appropriations Act, 2023 signed into law on December 29, 2022, or HFCAA,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On December 16, 2021, the PCAOB issued a report to notify the SEC its determinations that it is unable to inspect or investigate completely registered public accounting firms headquartered in mainland China and Hong Kong, including our auditor. In May 2022, the SEC conclusively listed us as a Commission-Identified Issuer under the HFCAA following the filing of this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As of the date of this prospectus, the PCAOB has not issued any new determination regarding its ability to inspect or investigate registered public accounting firms headquartered in mainland China and Hong Kong. For this reason, we do not expect to be identified as a Commission-Identified Issuer under the HFCAA after we file this prospectus. Each year, the PCAOB will determine whether it can inspect and investigate completely audit firms in mainland China and Hong Kong, among other jurisdictions. If PCAOB determines in the future that it no longer has full access to inspect and investigate completely accounting firms in mainland China and Hong Kong and we continue to use an accounting firm headquartered in one of these jurisdictions to issue an audit report on our consolidated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The delisting of our ADSs, or the threat of their being delisted, may materially and adversely affect the value of your investment. For more details, please refer to risks disclosed under “Item 3. Key Information—D. Risk Factors—Risks Related to Doing Business in China” in our 2025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government’s significant authority in regulating our and the VIEs’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become worthless. For more details, see “Item 3. Key Information—D. Risk Factors—Risks Related to Doing Business in China—The PRC government’s significant oversight and discretion over our business operation could result in a material adverse change in our operations and the value of our ADSs” in our 2025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regulatory environment in China, including risks and challenges regarding the enforcement of laws and quickly evolving rules and regulations in China, could result in a material adverse change in our and the VIEs’ operations and the value of our ADSs. For more details, see “Item 3. Key Information—D. Risk Factors—Risks Related to Doing Business in China—Failure to respond to changes in the regulatory environment in China could adversely affect us” in our 2025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other regulatory body has approved or disapproved of these securities or determined if this prospectus is truthful or complete.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5495"/>
        <w:gridCol w:w="245"/>
      </w:tblGrid>
      <w:tr>
        <w:trPr/>
        <w:tc>
          <w:tcPr>
            <w:tcW w:w="5495" w:type="dxa"/>
            <w:tcBorders/>
            <w:shd w:fill="CCEEFF" w:val="clear"/>
            <w:vAlign w:val="center"/>
          </w:tcPr>
          <w:p>
            <w:pPr>
              <w:pStyle w:val="TableContents"/>
              <w:bidi w:val="0"/>
              <w:spacing w:before="0" w:after="283"/>
              <w:jc w:val="left"/>
              <w:rPr/>
            </w:pPr>
            <w:hyperlink w:anchor="JG_001">
              <w:r>
                <w:rPr>
                  <w:rStyle w:val="InternetLink"/>
                  <w:rFonts w:ascii="Times New Roman;Times;Serif" w:hAnsi="Times New Roman;Times;Serif"/>
                  <w:b w:val="false"/>
                  <w:i w:val="false"/>
                  <w:caps w:val="false"/>
                  <w:smallCaps w:val="false"/>
                  <w:sz w:val="20"/>
                </w:rPr>
                <w:t>ABOUT THIS PROSPECTUS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5495" w:type="dxa"/>
            <w:tcBorders/>
            <w:shd w:fill="FFFFFF" w:val="clear"/>
            <w:vAlign w:val="center"/>
          </w:tcPr>
          <w:p>
            <w:pPr>
              <w:pStyle w:val="TableContents"/>
              <w:bidi w:val="0"/>
              <w:spacing w:before="0" w:after="283"/>
              <w:jc w:val="left"/>
              <w:rPr/>
            </w:pPr>
            <w:hyperlink w:anchor="JG_002">
              <w:r>
                <w:rPr>
                  <w:rStyle w:val="InternetLink"/>
                  <w:rFonts w:ascii="Times New Roman;Times;Serif" w:hAnsi="Times New Roman;Times;Serif"/>
                  <w:b w:val="false"/>
                  <w:i w:val="false"/>
                  <w:caps w:val="false"/>
                  <w:smallCaps w:val="false"/>
                  <w:sz w:val="20"/>
                </w:rPr>
                <w:t>FORWARD-LOOKING STATEMENTS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495" w:type="dxa"/>
            <w:tcBorders/>
            <w:shd w:fill="CCEEFF" w:val="clear"/>
            <w:vAlign w:val="center"/>
          </w:tcPr>
          <w:p>
            <w:pPr>
              <w:pStyle w:val="TableContents"/>
              <w:bidi w:val="0"/>
              <w:spacing w:before="0" w:after="283"/>
              <w:jc w:val="left"/>
              <w:rPr/>
            </w:pPr>
            <w:hyperlink w:anchor="JG_003">
              <w:r>
                <w:rPr>
                  <w:rStyle w:val="InternetLink"/>
                  <w:rFonts w:ascii="Times New Roman;Times;Serif" w:hAnsi="Times New Roman;Times;Serif"/>
                  <w:b w:val="false"/>
                  <w:i w:val="false"/>
                  <w:caps w:val="false"/>
                  <w:smallCaps w:val="false"/>
                  <w:sz w:val="20"/>
                </w:rPr>
                <w:t>OUR COMPANY</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5495" w:type="dxa"/>
            <w:tcBorders/>
            <w:shd w:fill="FFFFFF" w:val="clear"/>
            <w:vAlign w:val="center"/>
          </w:tcPr>
          <w:p>
            <w:pPr>
              <w:pStyle w:val="TableContents"/>
              <w:bidi w:val="0"/>
              <w:spacing w:before="0" w:after="283"/>
              <w:jc w:val="left"/>
              <w:rPr/>
            </w:pPr>
            <w:hyperlink w:anchor="JG_004">
              <w:r>
                <w:rPr>
                  <w:rStyle w:val="InternetLink"/>
                  <w:rFonts w:ascii="Times New Roman;Times;Serif" w:hAnsi="Times New Roman;Times;Serif"/>
                  <w:b w:val="false"/>
                  <w:i w:val="false"/>
                  <w:caps w:val="false"/>
                  <w:smallCaps w:val="false"/>
                  <w:sz w:val="20"/>
                </w:rPr>
                <w:t>RISK FACTORS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5495" w:type="dxa"/>
            <w:tcBorders/>
            <w:shd w:fill="CCEEFF" w:val="clear"/>
            <w:vAlign w:val="center"/>
          </w:tcPr>
          <w:p>
            <w:pPr>
              <w:pStyle w:val="TableContents"/>
              <w:bidi w:val="0"/>
              <w:spacing w:before="0" w:after="283"/>
              <w:jc w:val="left"/>
              <w:rPr/>
            </w:pPr>
            <w:hyperlink w:anchor="JG_005">
              <w:r>
                <w:rPr>
                  <w:rStyle w:val="InternetLink"/>
                  <w:rFonts w:ascii="Times New Roman;Times;Serif" w:hAnsi="Times New Roman;Times;Serif"/>
                  <w:b w:val="false"/>
                  <w:i w:val="false"/>
                  <w:caps w:val="false"/>
                  <w:smallCaps w:val="false"/>
                  <w:sz w:val="20"/>
                </w:rPr>
                <w:t>USE OF PROCEEDS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5495" w:type="dxa"/>
            <w:tcBorders/>
            <w:shd w:fill="FFFFFF" w:val="clear"/>
            <w:vAlign w:val="center"/>
          </w:tcPr>
          <w:p>
            <w:pPr>
              <w:pStyle w:val="TableContents"/>
              <w:bidi w:val="0"/>
              <w:spacing w:before="0" w:after="283"/>
              <w:jc w:val="left"/>
              <w:rPr/>
            </w:pPr>
            <w:hyperlink w:anchor="JG_006">
              <w:r>
                <w:rPr>
                  <w:rStyle w:val="InternetLink"/>
                  <w:rFonts w:ascii="Times New Roman;Times;Serif" w:hAnsi="Times New Roman;Times;Serif"/>
                  <w:b w:val="false"/>
                  <w:i w:val="false"/>
                  <w:caps w:val="false"/>
                  <w:smallCaps w:val="false"/>
                  <w:sz w:val="20"/>
                </w:rPr>
                <w:t>CAPITALIZATION</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5495" w:type="dxa"/>
            <w:tcBorders/>
            <w:shd w:fill="CCEEFF" w:val="clear"/>
            <w:vAlign w:val="center"/>
          </w:tcPr>
          <w:p>
            <w:pPr>
              <w:pStyle w:val="TableContents"/>
              <w:bidi w:val="0"/>
              <w:spacing w:before="0" w:after="283"/>
              <w:jc w:val="left"/>
              <w:rPr/>
            </w:pPr>
            <w:hyperlink w:anchor="JG_007">
              <w:r>
                <w:rPr>
                  <w:rStyle w:val="InternetLink"/>
                  <w:rFonts w:ascii="Times New Roman;Times;Serif" w:hAnsi="Times New Roman;Times;Serif"/>
                  <w:b w:val="false"/>
                  <w:i w:val="false"/>
                  <w:caps w:val="false"/>
                  <w:smallCaps w:val="false"/>
                  <w:sz w:val="20"/>
                </w:rPr>
                <w:t>DESCRIPTION OF SHARE CAPITAL</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5495" w:type="dxa"/>
            <w:tcBorders/>
            <w:shd w:fill="FFFFFF" w:val="clear"/>
            <w:vAlign w:val="center"/>
          </w:tcPr>
          <w:p>
            <w:pPr>
              <w:pStyle w:val="TableContents"/>
              <w:bidi w:val="0"/>
              <w:spacing w:before="0" w:after="283"/>
              <w:jc w:val="left"/>
              <w:rPr/>
            </w:pPr>
            <w:hyperlink w:anchor="sq_001">
              <w:r>
                <w:rPr>
                  <w:rStyle w:val="InternetLink"/>
                  <w:rFonts w:ascii="Times New Roman;Times;Serif" w:hAnsi="Times New Roman;Times;Serif"/>
                  <w:b w:val="false"/>
                  <w:i w:val="false"/>
                  <w:caps w:val="false"/>
                  <w:smallCaps w:val="false"/>
                  <w:sz w:val="20"/>
                </w:rPr>
                <w:t>DESCRIPTION OF PREFERRED SHARES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5495" w:type="dxa"/>
            <w:tcBorders/>
            <w:shd w:fill="CCEEFF" w:val="clear"/>
            <w:vAlign w:val="center"/>
          </w:tcPr>
          <w:p>
            <w:pPr>
              <w:pStyle w:val="TableContents"/>
              <w:bidi w:val="0"/>
              <w:spacing w:before="0" w:after="283"/>
              <w:jc w:val="left"/>
              <w:rPr/>
            </w:pPr>
            <w:hyperlink w:anchor="sq_002">
              <w:r>
                <w:rPr>
                  <w:rStyle w:val="InternetLink"/>
                  <w:rFonts w:ascii="Times New Roman;Times;Serif" w:hAnsi="Times New Roman;Times;Serif"/>
                  <w:b w:val="false"/>
                  <w:i w:val="false"/>
                  <w:caps w:val="false"/>
                  <w:smallCaps w:val="false"/>
                  <w:sz w:val="20"/>
                </w:rPr>
                <w:t>DESCRIPTION OF WARRANTS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5495" w:type="dxa"/>
            <w:tcBorders/>
            <w:shd w:fill="FFFFFF" w:val="clear"/>
            <w:vAlign w:val="center"/>
          </w:tcPr>
          <w:p>
            <w:pPr>
              <w:pStyle w:val="TableContents"/>
              <w:bidi w:val="0"/>
              <w:spacing w:before="0" w:after="283"/>
              <w:jc w:val="left"/>
              <w:rPr/>
            </w:pPr>
            <w:hyperlink w:anchor="sq_003">
              <w:r>
                <w:rPr>
                  <w:rStyle w:val="InternetLink"/>
                  <w:rFonts w:ascii="Times New Roman;Times;Serif" w:hAnsi="Times New Roman;Times;Serif"/>
                  <w:b w:val="false"/>
                  <w:i w:val="false"/>
                  <w:caps w:val="false"/>
                  <w:smallCaps w:val="false"/>
                  <w:sz w:val="20"/>
                </w:rPr>
                <w:t>DESCRIPTION OF SUBSCRIPTION RIGHTS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5495" w:type="dxa"/>
            <w:tcBorders/>
            <w:shd w:fill="CCEEFF" w:val="clear"/>
            <w:vAlign w:val="center"/>
          </w:tcPr>
          <w:p>
            <w:pPr>
              <w:pStyle w:val="TableContents"/>
              <w:bidi w:val="0"/>
              <w:spacing w:before="0" w:after="283"/>
              <w:jc w:val="left"/>
              <w:rPr/>
            </w:pPr>
            <w:hyperlink w:anchor="sq_004">
              <w:r>
                <w:rPr>
                  <w:rStyle w:val="InternetLink"/>
                  <w:rFonts w:ascii="Times New Roman;Times;Serif" w:hAnsi="Times New Roman;Times;Serif"/>
                  <w:b w:val="false"/>
                  <w:i w:val="false"/>
                  <w:caps w:val="false"/>
                  <w:smallCaps w:val="false"/>
                  <w:sz w:val="20"/>
                </w:rPr>
                <w:t>DESCRIPTION OF UNITS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5495" w:type="dxa"/>
            <w:tcBorders/>
            <w:shd w:fill="FFFFFF" w:val="clear"/>
            <w:vAlign w:val="center"/>
          </w:tcPr>
          <w:p>
            <w:pPr>
              <w:pStyle w:val="TableContents"/>
              <w:bidi w:val="0"/>
              <w:spacing w:before="0" w:after="283"/>
              <w:jc w:val="left"/>
              <w:rPr/>
            </w:pPr>
            <w:hyperlink w:anchor="sq_005">
              <w:r>
                <w:rPr>
                  <w:rStyle w:val="InternetLink"/>
                  <w:rFonts w:ascii="Times New Roman;Times;Serif" w:hAnsi="Times New Roman;Times;Serif"/>
                  <w:b w:val="false"/>
                  <w:i w:val="false"/>
                  <w:caps w:val="false"/>
                  <w:smallCaps w:val="false"/>
                  <w:sz w:val="20"/>
                </w:rPr>
                <w:t>ENFORCEABILITY OF CIVIL LIABILITIES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5495" w:type="dxa"/>
            <w:tcBorders/>
            <w:shd w:fill="CCEEFF" w:val="clear"/>
            <w:vAlign w:val="center"/>
          </w:tcPr>
          <w:p>
            <w:pPr>
              <w:pStyle w:val="TableContents"/>
              <w:bidi w:val="0"/>
              <w:spacing w:before="0" w:after="283"/>
              <w:jc w:val="left"/>
              <w:rPr/>
            </w:pPr>
            <w:hyperlink w:anchor="sq_006">
              <w:r>
                <w:rPr>
                  <w:rStyle w:val="InternetLink"/>
                  <w:rFonts w:ascii="Times New Roman;Times;Serif" w:hAnsi="Times New Roman;Times;Serif"/>
                  <w:b w:val="false"/>
                  <w:i w:val="false"/>
                  <w:caps w:val="false"/>
                  <w:smallCaps w:val="false"/>
                  <w:sz w:val="20"/>
                </w:rPr>
                <w:t>TAXATION</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5495" w:type="dxa"/>
            <w:tcBorders/>
            <w:shd w:fill="FFFFFF" w:val="clear"/>
            <w:vAlign w:val="center"/>
          </w:tcPr>
          <w:p>
            <w:pPr>
              <w:pStyle w:val="TableContents"/>
              <w:bidi w:val="0"/>
              <w:spacing w:before="0" w:after="283"/>
              <w:jc w:val="left"/>
              <w:rPr/>
            </w:pPr>
            <w:hyperlink w:anchor="sq_007">
              <w:r>
                <w:rPr>
                  <w:rStyle w:val="InternetLink"/>
                  <w:rFonts w:ascii="Times New Roman;Times;Serif" w:hAnsi="Times New Roman;Times;Serif"/>
                  <w:b w:val="false"/>
                  <w:i w:val="false"/>
                  <w:caps w:val="false"/>
                  <w:smallCaps w:val="false"/>
                  <w:sz w:val="20"/>
                </w:rPr>
                <w:t>PLAN OF DISTRIBUTION</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5495" w:type="dxa"/>
            <w:tcBorders/>
            <w:shd w:fill="CCEEFF" w:val="clear"/>
            <w:vAlign w:val="center"/>
          </w:tcPr>
          <w:p>
            <w:pPr>
              <w:pStyle w:val="TableContents"/>
              <w:bidi w:val="0"/>
              <w:spacing w:before="0" w:after="283"/>
              <w:jc w:val="left"/>
              <w:rPr/>
            </w:pPr>
            <w:hyperlink w:anchor="sq_008">
              <w:r>
                <w:rPr>
                  <w:rStyle w:val="InternetLink"/>
                  <w:rFonts w:ascii="Times New Roman;Times;Serif" w:hAnsi="Times New Roman;Times;Serif"/>
                  <w:b w:val="false"/>
                  <w:i w:val="false"/>
                  <w:caps w:val="false"/>
                  <w:smallCaps w:val="false"/>
                  <w:sz w:val="20"/>
                </w:rPr>
                <w:t>EXPENSES RELATED TO THE OFFERING</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5495" w:type="dxa"/>
            <w:tcBorders/>
            <w:shd w:fill="FFFFFF" w:val="clear"/>
            <w:vAlign w:val="center"/>
          </w:tcPr>
          <w:p>
            <w:pPr>
              <w:pStyle w:val="TableContents"/>
              <w:bidi w:val="0"/>
              <w:spacing w:before="0" w:after="283"/>
              <w:jc w:val="left"/>
              <w:rPr/>
            </w:pPr>
            <w:hyperlink w:anchor="sq_009">
              <w:r>
                <w:rPr>
                  <w:rStyle w:val="InternetLink"/>
                  <w:rFonts w:ascii="Times New Roman;Times;Serif" w:hAnsi="Times New Roman;Times;Serif"/>
                  <w:b w:val="false"/>
                  <w:i w:val="false"/>
                  <w:caps w:val="false"/>
                  <w:smallCaps w:val="false"/>
                  <w:sz w:val="20"/>
                </w:rPr>
                <w:t>LEGAL MATTERS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5495" w:type="dxa"/>
            <w:tcBorders/>
            <w:shd w:fill="CCEEFF" w:val="clear"/>
            <w:vAlign w:val="center"/>
          </w:tcPr>
          <w:p>
            <w:pPr>
              <w:pStyle w:val="TableContents"/>
              <w:bidi w:val="0"/>
              <w:spacing w:before="0" w:after="283"/>
              <w:jc w:val="left"/>
              <w:rPr/>
            </w:pPr>
            <w:hyperlink w:anchor="sq_010">
              <w:r>
                <w:rPr>
                  <w:rStyle w:val="InternetLink"/>
                  <w:rFonts w:ascii="Times New Roman;Times;Serif" w:hAnsi="Times New Roman;Times;Serif"/>
                  <w:b w:val="false"/>
                  <w:i w:val="false"/>
                  <w:caps w:val="false"/>
                  <w:smallCaps w:val="false"/>
                  <w:sz w:val="20"/>
                </w:rPr>
                <w:t>EXPERTS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5495" w:type="dxa"/>
            <w:tcBorders/>
            <w:shd w:fill="FFFFFF" w:val="clear"/>
            <w:vAlign w:val="center"/>
          </w:tcPr>
          <w:p>
            <w:pPr>
              <w:pStyle w:val="TableContents"/>
              <w:bidi w:val="0"/>
              <w:spacing w:before="0" w:after="283"/>
              <w:jc w:val="left"/>
              <w:rPr/>
            </w:pPr>
            <w:hyperlink w:anchor="sq_011">
              <w:r>
                <w:rPr>
                  <w:rStyle w:val="InternetLink"/>
                  <w:rFonts w:ascii="Times New Roman;Times;Serif" w:hAnsi="Times New Roman;Times;Serif"/>
                  <w:b w:val="false"/>
                  <w:i w:val="false"/>
                  <w:caps w:val="false"/>
                  <w:smallCaps w:val="false"/>
                  <w:sz w:val="20"/>
                </w:rPr>
                <w:t>WHERE YOU CAN FIND MORE INFORMATION</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5495" w:type="dxa"/>
            <w:tcBorders/>
            <w:shd w:fill="CCEEFF" w:val="clear"/>
            <w:vAlign w:val="center"/>
          </w:tcPr>
          <w:p>
            <w:pPr>
              <w:pStyle w:val="TableContents"/>
              <w:bidi w:val="0"/>
              <w:spacing w:before="0" w:after="283"/>
              <w:jc w:val="left"/>
              <w:rPr/>
            </w:pPr>
            <w:hyperlink w:anchor="sq_012">
              <w:r>
                <w:rPr>
                  <w:rStyle w:val="InternetLink"/>
                  <w:rFonts w:ascii="Times New Roman;Times;Serif" w:hAnsi="Times New Roman;Times;Serif"/>
                  <w:b w:val="false"/>
                  <w:i w:val="false"/>
                  <w:caps w:val="false"/>
                  <w:smallCaps w:val="false"/>
                  <w:sz w:val="20"/>
                </w:rPr>
                <w:t>INCORPORATION OF CERTAIN DOCUMENTS BY REFERENCE</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or incorporated by reference into this prospectus, in the applicable prospectus supplement or in any free writing prospectus filed by us with the SEC. We have not authorized any other person to provide you with different information. If anyone provides you with different or inconsistent information, you should not rely on it. You should not assume that the information contained or incorporated by reference into this prospectus and any prospectus supplement or in any free writing prospectus is accurate as of any date other than the respective dates thereof. Our business, financial condition, results of operations and prospects may have changed since those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not making an offer to sell the securities or soliciting an offer to buy the securities in any jurisdiction where the offer or sale is not permitted.</w:t>
      </w:r>
    </w:p>
    <w:p>
      <w:pPr>
        <w:pStyle w:val="TextBody"/>
        <w:bidi w:val="0"/>
        <w:spacing w:before="0" w:after="0"/>
        <w:ind w:left="0" w:right="0" w:firstLine="72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 w:name="JG_001"/>
      <w:bookmarkEnd w:id="2"/>
      <w:r>
        <w:rPr>
          <w:rFonts w:ascii="Times New Roman;Times;Serif" w:hAnsi="Times New Roman;Times;Serif"/>
          <w:b/>
          <w:i w:val="false"/>
          <w:caps/>
          <w:sz w:val="20"/>
        </w:rPr>
        <w:t>ABOUT THIS PROSPECTUS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U.S. Securities and Exchange Commission, or the SEC, using a “shelf” registration process. By using this shelf registration statement, we may, at any time and from time to time, offer and/or sell the securities described in this prospectus in one or more offerings. This prospectus provides you with a general description of the securities offered. We may also add, update or change information contained in this prospectus by means of a prospectus supplement or by incorporating by reference information that we file or furnish to the SEC. If there is any inconsistency between the information in this prospectus and any related prospectus supplement, you should rely on the information in the applicable prospectus supplement. As allowed by the SEC rules, this prospectus and any accompanying prospectus supplement do not contain all of the information included in the registration statement. For further information, we refer you to the registration statement, including its exhibits. Statements contained in this prospectus or any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read this document and any applicable prospectus supplement. You should also read the documents we have referred you to under “Where You Can Find More Information” and “Incorporation of Certain Documents by Reference” below for information on our company, the risks we face and our financial statements. The registration statement and exhibits can be read on the SEC’s website as described under “Where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otherwise indicated or unless the context otherwise requires: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2024 reorganization transaction” are to the transactions to effect the divestment of our divested IoT@Home business by terminating the contractual arrangements between Yunmi Hulian Technology (Guangdong) Co., Ltd. and Foshan Yunmi Electric Appliances Technology Co., Ltd., or Foshan Viomi, which has resulted in Foshan Viomi’s shareholder, Mr. Xiaoping Chen, fully controlling Foshan Viomi and its subsidiaries including Foshan Xiaoxian Hulian Electric Appliances Technology Co., Ltd., Foshan Qutansuo Electric Technology Co., Ltd., Guangdong AI Touch Technology Co., Ltd., and Zhuawa Technology (Guangdong) Co., Ltd. Additionally, Zhumeng Hulian Technology (Guangdong) Co., Ltd. and Guangdong Interconnect Electric Appliances Technology Co., Ltd., or Guangdong Interconnect, have entered into a new set of contractual arrangements, as a result of which the Company has controlled Guangdong Interconnect and consolidated its financial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ADSs” are to our American depositary shares, each of which represents three Class A ordinary shares of par value US$0.00001 each;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China” or the “PRC” are to the People’s Republic of China;</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AI” are to artificial intelligence;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ordinary shares” are to our Class A ordinary shares of par value US$0.00001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B ordinary shares” are to our Class B ordinary shares of par value US$0.00001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divested IoT@Home business” are to the businesses and assets involving certain IoT@Home portfolio products (excluding range hoods, gas stoves, and water heaters) that have been divested by us in August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IoT” are to the Internet of Things, an interconnected network of devices that can communicate with one another through the internet;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“home water systems” are to our portfolio of smart water purification systems with intelligent interconnectivity and communication capabilities, along with water heaters, smart water kettles, and electric kettles, among others;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“kitchen appliances and others” are to portfolio of range hoods, gas stoves, and other small appliances, as well as product installation services and rental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“IoT@Home portfolio products” are to our portfolio of smart home products with intelligent interconnectivity and communication capabilities, including our smart kitchen products and other smart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are to Class A ordinary shares and Class B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VIEs” are to variable interest entities, and “the VIEs” are to Beijing Yunmi Technology Co., Ltd., or Beijing Viomi, and Guangdong Interconnect Electric Appliances Technology Co., Ltd., or Guangdong Interconnect, and, in the context of describing the VIEs prior to the completion of the 2024 reorganization transaction, Beijing Viomi and Foshan Yunmi Electric Appliances Technology Co., Ltd., or Foshan Viomi;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Viomi,” “we,” “us,” “our company” or “our” are to Viomi Technology Co., Ltd, our Cayman Islands holding company and its subsidiaries, and, in the context of describing our operations and consolidated financial information, the VIEs and the subsidiaries of the VIEs in China;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WFOE I” are to Lequan Technology (Beijing) Co., Ltd., or Lequan Technology;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WFOE II” are to Zhumeng Hulian Technology (Guangdong) Co., Ltd., or Zhumeng Hulian;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WFOEs” are to wholly foreign-owned enterprises, and “our WFOEs” are to our WFOE I and our WFOE II, and, in the context of describing our WFOEs prior to the completion of the 2024 reorganization transaction, WFOE I and Yunmi Hulian Technology (Guangdong) Co., Ltd., or the former WFOE;</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RMB” or “Renminbi” are to the legal currency of China;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platform” refers to the products and mobile apps that we provide to users and platform partners;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or “U.S. dollars,” are to the legal currency of the United States;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Xiaomi” are to Xiaomi Corporation, an internet company and a principal shareholder of our company as of the date of this prospectus, and/or any of its affiliates.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to implement our “Focus” strategy for home water solutions, we divested our businesses and assets involving certain IoT@Home portfolio products (excluding range hoods, gas stoves, and water heaters) for a total consideration of RMB65 million in cash. As a result of the completion of the 2024 reorganization transaction, from September 2024, we have ceased to consolidate the divested entities, assets and businesses as well as their corresponding financial results. The historical financial results of our divested IoT@Home business are reflected in our audited consolidated financial statements as discontinued operations. Unless otherwise stated, the financial information and non-GAAP financial measures disclosed in our 2025 Form 20-F refer to our continuing operations. Unless otherwise specifically stated, the information relating to the business operations is disclosed on a continuing operation basis, which excludes the divested IoT@Home business. As a result, our historical results prior to the completion of the 2024 reorganization transaction may not be indicative of future financial condition or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all translations from Renminbi to U.S. dollars and from U.S. dollars to Renminbi in this prospectus were made at a rate of RMB6.9931 to US$1.00, the exchange rate set forth in the H.10 statistical release of the Board of Governors of the Federal Reserve System as of December 31, 2025. We make no representation that any RMB or U.S. dollar amounts could have been, or could be, converted into U.S. dollars or RMB, as the case may be, at any particular rate,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Discrepancies in any table between totals and sums of the amounts listed are due to rounding. Certain amounts and percentages have been rounded; consequently, certain figures may add up to be more or less than the total amount and certain percentages may add up to be more or less than 100% due to rounding.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any prospectus supplement to “the accompanying prospectus” are to this prospectus and to “the prospectus” are to this prospectus and the applicable prospectus supplement taken together.</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3" w:name="JG_002"/>
      <w:bookmarkEnd w:id="3"/>
      <w:r>
        <w:rPr>
          <w:rFonts w:ascii="Times New Roman;Times;Serif" w:hAnsi="Times New Roman;Times;Serif"/>
          <w:b/>
          <w:i w:val="false"/>
          <w:caps/>
          <w:sz w:val="20"/>
        </w:rPr>
        <w:t>FORWARD-LOOKING STATEMENTS</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herein contain forward-looking statements that reflect our current expectations and views of future events. These statements are made under the “safe harbor” provisions of the U.S. Private Securities Litigation Reform Act of 1995. You can identify these forward-looking statements by terminology such as “may,” “will,” “expect,” “anticipate,” “aim,” “intend”, “plan,” “believe,” “estimate,” “is/are likely to,” “future,”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relating to, among other things:</w:t>
      </w:r>
    </w:p>
    <w:p>
      <w:pPr>
        <w:pStyle w:val="TextBody"/>
        <w:bidi w:val="0"/>
        <w:spacing w:before="0" w:after="0"/>
        <w:ind w:left="0" w:right="0" w:firstLine="720"/>
        <w:jc w:val="both"/>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75"/>
        <w:gridCol w:w="170"/>
        <w:gridCol w:w="93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and the VIEs’ operations and business prospects;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and the VIEs’ future business development, financial conditions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home water solutions products market and the home appliances market in China;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development of our overseas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application of AI technology in home water solutions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relationships with our ecosystem partners;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success of our sales channel expansion and optimization;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for, among other things, capital, technology and skilled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dividend policy;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regulatory and operating conditions in the industry and geographical markets in which we operate;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risks and uncertainties described in “Item 3. Key Information—D. Risk Factors” in our 2025 Form 20-F.</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included in this prospectus, in the documents incorporated by reference herein and in any prospectus supplement are subject to risks, uncertainties and assumptions about our company. Our actual results of operations may differ materially from the forward-looking statements as a result of the risk factors disclosed in this prospectus, in the documents incorporated by reference herein or in any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like to caution you not to place undue reliance on these forward-looking statements, and you should read these statements in conjunction with the risk factors disclosed herein, in the documents incorporated by reference herein or in any applicable prospectus supplement for a more complete discussion of the risks of an investment in our securities. We operate in a rapidly evolving environment. New risks emerge from time to time and it is impossible for our management to predict all risk factors, nor can we assess the impact of all factors on our business or the extent to which any factor, or combination of factors, may cause actual results to differ from those contained in any forward-looking statement. We do not undertake any obligation to update or revise the forward-looking statements except as required under applicable law.</w:t>
      </w:r>
    </w:p>
    <w:p>
      <w:pPr>
        <w:pStyle w:val="TextBody"/>
        <w:bidi w:val="0"/>
        <w:spacing w:before="0" w:after="0"/>
        <w:ind w:left="0" w:right="0" w:firstLine="72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bdr w:val="single" w:sz="8" w:space="7" w:color="000000"/>
        </w:rPr>
      </w:pPr>
      <w:r>
        <w:rPr>
          <w:caps/>
          <w:bdr w:val="single" w:sz="8" w:space="7" w:color="000000"/>
        </w:rPr>
        <w:t> </w:t>
      </w:r>
    </w:p>
    <w:p>
      <w:pPr>
        <w:pStyle w:val="TextBody"/>
        <w:bidi w:val="0"/>
        <w:spacing w:before="0" w:after="0"/>
        <w:ind w:left="0" w:right="0" w:hanging="0"/>
        <w:jc w:val="center"/>
        <w:rPr>
          <w:rFonts w:ascii="Times New Roman;Times;Serif" w:hAnsi="Times New Roman;Times;Serif"/>
          <w:b/>
          <w:i w:val="false"/>
          <w:caps/>
          <w:sz w:val="20"/>
          <w:bdr w:val="single" w:sz="8" w:space="7" w:color="000000"/>
        </w:rPr>
      </w:pPr>
      <w:bookmarkStart w:id="4" w:name="JG_003"/>
      <w:bookmarkEnd w:id="4"/>
      <w:r>
        <w:rPr>
          <w:rFonts w:ascii="Times New Roman;Times;Serif" w:hAnsi="Times New Roman;Times;Serif"/>
          <w:b/>
          <w:i w:val="false"/>
          <w:caps/>
          <w:sz w:val="20"/>
          <w:bdr w:val="single" w:sz="8" w:space="7" w:color="000000"/>
        </w:rPr>
        <w:t>OUR COMPANY</w:t>
      </w:r>
    </w:p>
    <w:p>
      <w:pPr>
        <w:pStyle w:val="TextBody"/>
        <w:bidi w:val="0"/>
        <w:spacing w:before="0" w:after="0"/>
        <w:ind w:left="0" w:right="0" w:hanging="0"/>
        <w:jc w:val="center"/>
        <w:rPr>
          <w:caps/>
          <w:bdr w:val="single" w:sz="8" w:space="7" w:color="000000"/>
        </w:rPr>
      </w:pPr>
      <w:r>
        <w:rPr>
          <w:caps/>
          <w:bdr w:val="single" w:sz="8"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7" w:color="000000"/>
        </w:rPr>
      </w:pPr>
      <w:r>
        <w:rPr>
          <w:rFonts w:ascii="Times New Roman;Times;Serif" w:hAnsi="Times New Roman;Times;Serif"/>
          <w:b/>
          <w:i w:val="false"/>
          <w:caps w:val="false"/>
          <w:smallCaps w:val="false"/>
          <w:sz w:val="20"/>
          <w:bdr w:val="single" w:sz="8" w:space="7" w:color="000000"/>
        </w:rPr>
        <w:t>Overview</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Embracing the mission of “AI for Better water,” we strive to utilize AI technology to provide better drinking water solutions for households worldwide. By leveraging our expertise in AI technology, intelligent hardware and software development, we simplify filter replacement and enhance water quality monitoring, thereby increasing the filter replacement rate. Our continuous technological innovations extend filter lifespan and lower user costs, promoting the adoption of water purifiers and supporting a healthy lifestyle while effectively addressing the rising global demand for cleaner, fresher and healthier drinking water. We operate a world-leading “Water Purifier Gigafactory” with an integrated industrial chain that boasts optimal efficiency and facilitates continuous breakthroughs in water purification. This state-of-the-art facility enables us to achieve economies of scale and accelerate the global popularization of residential water filtration.</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Our business comprises of two main parts, our Viomi business, which includes our Viomi-branded products, and Non-Viomi business, which involves our strategic partnership with Xiaomi. Sales through our own and third-party channels, which constitute the vast majority of our Viomi-branded products business, accounted for 21.1%, 17.3% and 10.4% of our net revenues in 2023, 2024 and 2025, respectively. Xiaomi is our strategic partner, shareholder and customer. Our strategic partnership with Xiaomi provides us with access to Xiaomi’s ecosystem users, sales platforms and data resources and related support. Sales to Xiaomi, predominantly comprising Xiaomi-branded products, accounted for 78.9%, 82.7% and 89.6% of our net revenues in 2023, 2024 and 2025, respectively. Our strong research and development capabilities, supply chain resources and innovative products and services are able to enrich Xiaomi’s suite of offerings, resulting in a mutually beneficial relationship between Xiaomi and us.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As an industry-leading technology company for home water solutions, Viomi has consistently driven technological breakthroughs over the past decade. These innovations include:</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Tankless large-flux water purifier: provides fresh drinking water 24/7, with a water flux up to 2000G, expanding the usage scenario of water purification from drinking to cooking, washing vegetables, and more.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Advancements in ERO electrodialysis and mineralization filter technologies: Allow Viomi to offer a range of water solutions, from pure water to natural mineral water, promoting a new trend of healthy living.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Integrated functions: Viomi has evolved from single-function filtration to integrated functions such as instant heating, cooling, and ice-making, meeting diverse global drinking needs.</w:t>
            </w:r>
          </w:p>
        </w:tc>
      </w:tr>
    </w:tbl>
    <w:p>
      <w:pPr>
        <w:pStyle w:val="TextBody"/>
        <w:bidi w:val="0"/>
        <w:spacing w:before="0" w:after="0"/>
        <w:ind w:left="1080" w:right="0" w:hanging="36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We offer a wide range of products covering various home scenarios, from kitchen to living room and whole-house, comprehensively addressing the increasing global demand for cleaner, fresher and healthier drinking water.</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In May 2025, we launched Kunlun 4 Pro Alkaline Mineral Water purifier, this next-generation water purifier harnesses AI technology to replicate the natural mineral water formation process, aiming to elevate household drinking water from the era of “pure water” to the new era of “pure mineral water,” and offering a solution for families seeking mineral-rich drinking water at home. In September 2025, we launched Master 1 mineral water purifier on Amazon. This product is equipped with 9-stage precision filtration and an AI-powered interactive faucet, further enriching our product portfolio. In October 2025, we launched the Inno mineral water dispenser in Malaysia, tailored for the local market and featuring both mineralization and cooling functions. In December 2025, we unveiled “Leader” whole-house series for domestic offline channels.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7" w:color="000000"/>
        </w:rPr>
      </w:pPr>
      <w:r>
        <w:rPr>
          <w:rFonts w:ascii="Times New Roman;Times;Serif" w:hAnsi="Times New Roman;Times;Serif"/>
          <w:b/>
          <w:i w:val="false"/>
          <w:caps w:val="false"/>
          <w:smallCaps w:val="false"/>
          <w:sz w:val="20"/>
          <w:bdr w:val="single" w:sz="8" w:space="7" w:color="000000"/>
        </w:rPr>
        <w:t>Our platform</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Our unique platform consists of innovative home water systems, consumables, and kitchen appliances and others.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Prior to our 2024 reorganization transaction, we grouped our products into four business lines, including IoT@Home portfolio products, home water solutions, consumables and small appliances and others. After the divestment of our “divested IoT@Home business in 2024, we re-grouped our products to better reflect our “Focus” strategy for home water solutions.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Currently, our products are grouped under the following three business lines: “home water systems,” which mainly are composed of our smart water purification products, water heaters, smart water kettles, and electric kettles, among others “consumables,” which consist of our consumable products that mainly include a range of water filters for our smart water purifiers, and “kitchen appliances and others,” which refer to range hoods, gas stoves, and other small appliances, as well as product installation services and rental services.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Specifically, water heaters, smart water kettles which were previously grouped under IoT@Home portfolio products, have been re-grouped to home water systems. Electric kettles, which were previously grouped under small appliances and others, have been also re-grouped to home water systems. Range hoods, gas stoves, and other small appliances, which were previously grouped under IoT@Home portfolio products, have been re-grouped to kitchen appliances and others.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7" w:color="000000"/>
        </w:rPr>
      </w:pPr>
      <w:r>
        <w:rPr>
          <w:rFonts w:ascii="Times New Roman;Times;Serif" w:hAnsi="Times New Roman;Times;Serif"/>
          <w:b/>
          <w:i/>
          <w:caps w:val="false"/>
          <w:smallCaps w:val="false"/>
          <w:sz w:val="20"/>
          <w:bdr w:val="single" w:sz="8" w:space="7" w:color="000000"/>
        </w:rPr>
        <w:t>Home water systems</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The core of our home water system products are our Viomi-branded and Xiaomi-branded smart water purifiers, which are complemented by our easy-to-install replaceable water filter consumable products. In general, our smart water purifiers feature precision sensors that enable real-time monitoring of the water purification process, facilitating data analysis and automatic adjustments with AI technology, innovative water purification technologies such as high-flow reverse osmosis membrane, and mobile application connectivity that allows users to monitor the status of the water purifier and receive reminders to replace filters. We continuously innovate and have introduced a series of new products. In the domestic market, we launched the Kunlun Mineral Series under-sink water purifier, which adopts a “purification-first, mineralization-second” approach, and advocates a healthy drinking water lifestyle. In May 2025, we launched the Kunlun 4 Pro Alkaline Mineral Water purifier. This next-generation water purifier harnesses AI technology to replicate the natural mineral water formation process, aiming to elevate household drinking water from the era of “pure water” to the new era of “pure mineral water,” and offering a solution for families seeking mineral-rich drinking water at home. In overseas markets, we are rolling out a more diverse range of products, taking into account the drinking water habits of different countries as well as channel-specific attributes. In September 2025, we launched the Master 1 mineral water purifier on Amazon. This product is equipped with a nine-stage precision filtration and an AI-powered interactive faucet, further enriching our product portfolio. In October 2025, we launched the Inno mineral water dispenser in Malaysia, tailored for the local market and featuring both mineralization and cooling functions.</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Our home water system products also include water heaters, smart water kettles, and electric kettles, among others.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7" w:color="000000"/>
        </w:rPr>
      </w:pPr>
      <w:r>
        <w:rPr>
          <w:rFonts w:ascii="Times New Roman;Times;Serif" w:hAnsi="Times New Roman;Times;Serif"/>
          <w:b/>
          <w:i/>
          <w:caps w:val="false"/>
          <w:smallCaps w:val="false"/>
          <w:sz w:val="20"/>
          <w:bdr w:val="single" w:sz="8" w:space="7" w:color="000000"/>
        </w:rPr>
        <w:t>Consumables</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The consumables mainly include water filters for our smart water purifiers. We offer water filters that are complementary, and often essential, to our home water systems. These products generate additional, recurring revenue streams throughout the life cycle of our home water systems. Consumers can purchase these products through our sales channels or the e-commerce platforms integrated to our home water systems.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7" w:color="000000"/>
        </w:rPr>
      </w:pPr>
      <w:r>
        <w:rPr>
          <w:rFonts w:ascii="Times New Roman;Times;Serif" w:hAnsi="Times New Roman;Times;Serif"/>
          <w:b/>
          <w:i/>
          <w:caps w:val="false"/>
          <w:smallCaps w:val="false"/>
          <w:sz w:val="20"/>
          <w:bdr w:val="single" w:sz="8" w:space="7" w:color="000000"/>
        </w:rPr>
        <w:t>Kitchen appliances and others</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Another component of our platform is our kitchen appliances and others.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We offer a variety of other kitchen appliances to supplement our home water systems. These kitchen appliances include range hoods, gas stoves, and other small appliances.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We provide product installation services to end-customers and lease properties to related parties.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7" w:color="000000"/>
        </w:rPr>
      </w:pPr>
      <w:r>
        <w:rPr>
          <w:rFonts w:ascii="Times New Roman;Times;Serif" w:hAnsi="Times New Roman;Times;Serif"/>
          <w:b/>
          <w:i w:val="false"/>
          <w:caps w:val="false"/>
          <w:smallCaps w:val="false"/>
          <w:sz w:val="20"/>
          <w:bdr w:val="single" w:sz="8" w:space="7" w:color="000000"/>
        </w:rPr>
        <w:t>Our Corporate Structure</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Viomi Technology Co., Ltd is not a Chinese operating company but rather a Cayman Islands holding company that does not conduct business directly and has no equity ownership in the VIEs. We conduct operations in China through (i) our WFOEs and (ii) the VIEs with which we have maintained contractual arrangements. The following diagram illustrates our corporate structure, including our significant subsidiaries and the VIEs as of the date of this prospectus:</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drawing>
          <wp:inline distT="0" distB="0" distL="0" distR="0">
            <wp:extent cx="6667500" cy="826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67500" cy="8267700"/>
                    </a:xfrm>
                    <a:prstGeom prst="rect">
                      <a:avLst/>
                    </a:prstGeom>
                  </pic:spPr>
                </pic:pic>
              </a:graphicData>
            </a:graphic>
          </wp:inline>
        </w:drawing>
      </w:r>
    </w:p>
    <w:p>
      <w:pPr>
        <w:pStyle w:val="TextBody"/>
        <w:bidi w:val="0"/>
        <w:spacing w:before="0" w:after="0"/>
        <w:jc w:val="both"/>
        <w:rPr>
          <w:caps w:val="false"/>
          <w:smallCaps w:val="false"/>
          <w:bdr w:val="single" w:sz="8" w:space="7" w:color="000000"/>
        </w:rPr>
      </w:pPr>
      <w:r>
        <w:rPr>
          <w:caps w:val="false"/>
          <w:smallCaps w:val="false"/>
          <w:bdr w:val="single" w:sz="8" w:space="7" w:color="000000"/>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Notes:</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Chen holds 99% of the equity interests in Beijing Viomi, and Zhuhai Yungui Enterprise Management Consulting Partnership (Limited Partnership), a limited partnership controlled and managed by Mr. Chen, holds the remaining 1%.</w:t>
            </w:r>
          </w:p>
        </w:tc>
      </w:tr>
      <w:tr>
        <w:trPr/>
        <w:tc>
          <w:tcPr>
            <w:tcW w:w="229" w:type="dxa"/>
            <w:tcBorders/>
            <w:vAlign w:val="center"/>
          </w:tcPr>
          <w:p>
            <w:pPr>
              <w:pStyle w:val="TableContents"/>
              <w:bidi w:val="0"/>
              <w:spacing w:before="0" w:after="283"/>
              <w:jc w:val="left"/>
              <w:rPr>
                <w:caps w:val="false"/>
                <w:smallCaps w:val="false"/>
              </w:rPr>
            </w:pPr>
            <w:r>
              <w:rPr>
                <w:caps w:val="false"/>
                <w:smallCaps w:val="false"/>
              </w:rPr>
              <w:t> </w:t>
            </w:r>
          </w:p>
        </w:tc>
        <w:tc>
          <w:tcPr>
            <w:tcW w:w="99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Foshan Viomi holds 100% of equity interests in Guangdong Interconnect Electric Appliances Technology Co., Ltd.</w:t>
            </w:r>
          </w:p>
        </w:tc>
      </w:tr>
    </w:tbl>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PRC laws and regulations restrict and impose conditions on foreign investment in internet and other related businesses in China. According to the Special Administrative Measures (Negative List) for Foreign Investment Access, our provision of internet information services falls within the restricted category and the equity ratio of foreign investment in the enterprises operating the business under the restricted category is subject to the cap of 50%. In addition, although our provision of e-commerce services falls within the permitted category, foreign investments in this business are still restricted by other requirements under related regulations in China. Accordingly, we operate this business in China through the VIEs, and rely on contractual arrangements among our WFOEs, the VIEs and the nominee shareholders of the VIEs to control the business operations of the VIEs. The VIEs are consolidated for accounting purposes, but are not entities in which our Cayman Islands holding company, or our investors, own equity. Revenues contributed by the VIEs accounted for 88.9%, 45.0% and 0.1% of our total revenues for the years ended December 31, 2023, 2024 and 2025, respectively. The VIEs currently include Beijing Yunmi Technology Co., Ltd., or Beijing Viomi, and Guangdong Interconnect Electric Appliances Technology Co., Ltd., or Guangdong Interconnect, and, prior to the completion of the 2024 reorganization transaction, the VIEs include Beijing Viomi and Foshan Yunmi Electric Appliances Technology Co., Ltd., or Foshan Viomi. Prior to the completion of the 2024 reorganization transaction, we operate our internet information and e-commerce services business primarily through the former VIE, Foshan Viomi. In the 2024 reorganization transaction, Foshan Viomi agreed to transfer the websites, mobile apps, mini programs operated by it and all the related materials and rights (including but not limited to domain names, databases, codes, software, operational data, materials, documents, information) to Guangdong Interconnect. We have completed the transfer process with Foshan Viomi transfer in November 2025, and after the completion of the transfer, Guangdong Interconnect will replace Foshan Viomi in operating internet information and e-commerce services business. Investors in our ADSs are not purchasing equity interest in the VIEs in China but instead are purchasing equity interest in a holding company incorporated in the Cayman Islands.</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A series of contractual agreements have been entered into by and among our WFOEs, the VIEs and their respective shareholders, including (i) shareholder voting proxy agreements and equity pledge agreements, which provide us with effective control over the VIEs in China, (ii) exclusive consultation and service agreements, which allow us to receive economic benefits from the VIEs in China, (iii) exclusive option agreements, which provide us with the option to purchase the equity interests in, and assets of, the VIEs, and (iv) equity pledge agreements, under which the shareholders of the VIEs have pledged 100% equity interests in the VIEs to our WFOEs to secure shareholders’ obligations under the exclusive option agreements, the shareholder voting proxy agreements and the equity pledge agreements. Terms contained in each set of contractual arrangements with the VIEs and their respective shareholders are substantially similar. After the completion of our 2024 reorganization transaction, we have terminated the contractual arrangements between Yunmi Hulian Technology (Guangdong) Co., Ltd., or the former WFOE, and Foshan Viomi, which has resulted in Foshan Viomi’s shareholder, Mr. Xiaoping Chen, fully controlling Foshan Viomi and its subsidiaries including Foshan Xiaoxian Hulian Electric Appliances Technology Co., Ltd., Foshan Qutansuo Electric Technology Co., Ltd., Guangdong AI Touch Technology Co., Ltd., and Zhuawa Technology (Guangdong) Co., Ltd. Additionally, Zhumeng Hulian Technology (Guangdong) Co., Ltd., or WFOE II, and Guangdong Interconnect, have entered into a new set of contractual arrangements, as a result of which the Company has controlled Guangdong Interconnect and consolidated its financial results. For more details of these contractual arrangements, see “Item 4. Information on the Company—C. Organizational Structure—Contractual Arrangements with The VIEs and Their Shareholders” in our 2025 Form 20-F.</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However, the contractual arrangements may not be as effective as direct ownership in providing us with control over the VIEs and we may incur substantial costs to enforce the terms of the arrangements. All of the agreements under the contractual arrangements are governed by PRC laws and provide for the resolution of disputes through arbitration in China. Accordingly, these contracts would be interpreted in accordance with PRC laws and any disputes arising from these contracts would be resolved in accordance with PRC legal procedures. These arrangements have not been tested in arbitral tribunals or courts. Changes in the regulatory environment in China may limit our ability to enforce these contractual arrangements. Further, there are very few precedents and little formal guidance as to how contractual arrangements in the context of a VIE should be interpreted or enforced under PRC laws. There remain significant uncertainties regarding the ultimate outcome of such arbitration should legal action become necessary. See “Item 3. Key Information—D. Risk Factors—Risks Related to Our Corporate Structure—We rely on contractual arrangements with the VIEs and their respective shareholders for substantially all of our business operation, which may not be as effective as direct ownership in providing operational control” and “Item 3. Key Information—D. Risk Factors—Risks Related to Our Corporate Structure—Any failure by the VIEs or their shareholders to perform their obligations under our contractual arrangements with them would have a material and adverse effect on our business, financial condition and results of operations” in our 2025 Form 20-F.</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There are also substantial uncertainties regarding the interpretation and application of current and future PRC laws, regulations and rules regarding the status of the rights of our Cayman Islands holding company with respect to its contractual arrangements with the VIEs and its nominee shareholders. It is uncertain whether any new PRC laws or regulations relating to VIE structures will be adopted or if adopted, what they would provide. If we or any of the VIEs is found to be in violation of any existing or future PRC laws or regulations, or fail to obtain or maintain any of the required permits or approvals, the applicable PRC regulatory authorities would have broad discretion to take action in dealing with such violations or failures. If the PRC government deems that our contractual arrangements with the VIEs do not comply with PRC regulatory restrictions on foreign investment in relevant industries, or if these regulations or the interpretation of existing regulations change or are interpreted differently in the future, we and the VIEs could be subject to severe penalties or be forced to relinquish our and the VIEs’ interests in those operations. Our holding company, our WFOEs, the VIEs, and investors of our company face uncertainty about potential future actions by the PRC government that could affect the enforceability of the contractual arrangements with the VIEs and, consequently, significantly affect the financial performance of the VIEs and their subsidiaries and our company as a whole. See “Item 3. Key Information—D. Risk Factors—Risks Related to Our Corporate Structure” and “Item 3. Key Information—D. Risk Factors—Risks Related to Doing Business in China—Failure to respond to changes in the regulatory environment in China could adversely affect us” in our 2025 Form 20-F.</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We and the VIEs face various risks and uncertainties related to doing business in China. Our and the VIEs’ business operations are primarily conducted in China, and we and the VIEs are subject to complex and evolving PRC laws and regulations. For example, we and the VIEs face risks associated with regulatory approvals on offshore offerings, anti-monopoly regulatory actions, and oversight on cybersecurity and data privacy. Additionally, the lack of inspection by the Public Company Accounting Oversight Board, or the PCAOB, on our auditors, may impact our ability to conduct certain businesses, accept foreign investments, or list on a United States or other foreign exchange. Pursuant to the Holding Foreign Companies Accountable Act, which was enacted on December 18, 2020 and further amended by the Consolidated Appropriations Act, 2023 signed into law on December 29, 2022, or HFCAA,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On December 16, 2021, the PCAOB issued a report to notify the SEC its determinations that it is unable to inspect or investigate completely registered public accounting firms headquartered in mainland China and Hong Kong, including our auditor. In May 2022, the SEC conclusively listed us as a Commission-Identified Issuer under the HFCAA following the filing of this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As of the date of this prospectus, the PCAOB has not issued any new determination regarding its ability to inspect or investigate registered public accounting firms headquartered in mainland China and Hong Kong. For this reason, we do not expect to be identified as a Commission-Identified Issuer under the HFCAA after we file this prospectus. Each year, the PCAOB will determine whether it can inspect and investigate completely audit firms in mainland China and Hong Kong, among other jurisdictions. If PCAOB determines in the future that it no longer has full access to inspect and investigate completely accounting firms in mainland China and Hong Kong and we continue to use an accounting firm headquartered in one of these jurisdictions to issue an audit report on our consolidated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The delisting of our ADSs, or the threat of their being delisted, may materially and adversely affect the value of your investment. These risks could result in a material adverse change in our and the VIEs’ operations and the value of our ADSs, significantly limit or completely hinder our ability to continue to offer securities to investors, or cause the value of such securities to significantly decline or become worthless. For a detailed description of risks related to doing business in China, please refer to risks disclosed under “Item 3. Key Information—D. Risk Factors—Risks Related to Doing Business in China” in our 2025 Form 20-F.</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PRC government’s significant authority in regulating our and the VIEs’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become worthless. For more details, see “Item 3. Key Information—D. Risk Factors—Risks Related to Doing Business in China—The PRC government’s significant oversight and discretion over our business operation could result in a material adverse change in our operations and the value of our ADSs” in our 2025 Form 20-F.</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Changes in the regulatory environment in China, including risks and challenges regarding the enforcement of laws and quickly evolving rules and regulations in China, could result in a material adverse change in our and the VIEs’ operations and the value of our ADSs. For more details, see “Item 3. Key Information—D. Risk Factors—Risks Related to Doing Business in China—Failure to respond to changes in the regulatory environment in China could adversely affect us” in our 2025 Form 20-F.</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7" w:color="000000"/>
        </w:rPr>
      </w:pPr>
      <w:r>
        <w:rPr>
          <w:rFonts w:ascii="Times New Roman;Times;Serif" w:hAnsi="Times New Roman;Times;Serif"/>
          <w:b/>
          <w:i/>
          <w:caps w:val="false"/>
          <w:smallCaps w:val="false"/>
          <w:sz w:val="20"/>
          <w:bdr w:val="single" w:sz="8" w:space="7" w:color="000000"/>
        </w:rPr>
        <w:t>Cash Transfers and Dividend Distribution</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Viomi Technology Co., Ltd is a holding company with no operations of its own. We conduct operations in China primarily through our subsidiaries and the VIEs in China. As a result, although other means are available for us to obtain financing at the holding company level, Viomi Technology Co., Ltd.’s ability to pay dividends to the shareholders and to service any debt it may incur may depend upon dividends paid by our PRC subsidiaries and the VIEs, and license and service fees paid by the VIEs.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If any of our subsidiaries or the VIEs incurs debt on its own behalf in the future, the instruments governing such debt may restrict its ability to pay dividends to Viomi Technology Co., Ltd. In addition, our PRC subsidiaries and the VIEs are permitted to pay dividends to Viomi Technology Co., Ltd only out of their accumulated profits, if any, as determined in accordance with PRC accounting standards and regulations. Further, our PRC subsidiaries and the VIEs and their subsidiaries are required to make appropriations to certain statutory reserve funds or may make appropriations to certain discretionary funds, which are not distributable as cash dividends except in the event of a solvent liquidation of the companies. Such restrictions and limitations imposed by the PRC government may also apply to cash transfers in and out of Hong Kong or our subsidiaries incorporated in Hong Kong. For more details, see “Item 5. Operating and Financial Review and Prospects—B. Liquidity and Capital Resources—Holding Company Structure” in our 2025 Form 20-F. For risks relating to the fund flows of our operations in China, see “Item 3. Key Information—Risk Factors—Risks Related to Our Corporate Structure—We may rely on dividends paid by our PRC subsidiaries to fund any cash and financing requirements we may have. Any limitation on the ability of our PRC subsidiaries to pay dividends to us could have a material adverse effect on our ability to conduct our business and to pay dividends to holders of the ADSs and our ordinary shares” in our 2025 Form 20-F.</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Under PRC laws and regulations, our PRC subsidiaries and the VIEs are subject to certain restrictions with respect to paying dividends or otherwise transferring any of their net assets to us. Remittance of dividends by our PRC subsidiaries out of mainland China is also subject to examination by the banks designated by the State Administration of Foreign Exchange and declaration and payment of withholding tax. The amounts restricted include the paid-up capital and the statutory reserve funds of our PRC subsidiaries and the net assets of the consolidated VIEs in which we have no legal ownership. Our PRC subsidiaries, the VIEs and their subsidiaries generate their revenue primarily in Renminbi, which is not freely convertible into other currencies. As a result, any restriction on currency exchange may limit the ability of our PRC subsidiaries to pay dividends to us. In addition, under the Enterprise Income Tax Law of the PRC and its implementation rules, undistributed profits earned by foreign-invested enterprises prior to January 1, 2008 are exempted from any withholding tax, while profits of a foreign-invested enterprise generated in or after 2008 that are distributed to its immediate holding company outside mainland China are subject to withholding tax at a rate of 10%, unless the foreign holding company’s jurisdiction of incorporation has a tax treaty with China that provides for a reduced rate of withholding tax. For example, a holding company in Hong Kong, subject to approval of the PRC local tax authority, will be eligible to a 5% withholding tax rate under the Arrangement Between the PRC and the Hong Kong Special Administrative Region on the Avoidance of Double Taxation and Prevention of Fiscal Evasion with Respect to Taxes on Income and Capital if such holding company is considered to be a non-PRC resident enterprise and holds at least 25% of the equity interests in the PRC foreign-invested enterprise distributing the dividends. However, if the Hong Kong holding company is not considered to be the beneficial owner of such dividends under applicable PRC tax regulations, such dividend will remain subject to withholding tax at a rate of 10%. See also “Item 3. Key Information—D. Risk Factors—Risks Related to Doing Business in China—Governmental control of currency conversion may limit our ability to utilize our cash balance effectively and affect the value of your investment,” and “Item 5. Operating And Financial Review And Prospects—B. Liquidity and Capital Resources—Holding Company Structure” in our 2025 Form 20-F.</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Under PRC laws, Viomi Technology Co., Ltd and its offshore subsidiaries may provide funding to our PRC subsidiaries only through capital contributions or loans, and to the VIEs only through loans, subject to satisfaction of applicable government registration and approval requirements. For the years ended December 31, 2023, 2024 and 2025, Viomi Technology Co., Ltd did not extend any loans to the VIEs.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The VIEs may transfer cash to our relevant WFOEs by paying service fees according to the exclusive consultation and service agreements. The VIEs agree in the respective exclusive consultation and service agreements to pay our WFOEs an annual service fee at an amount that is equal to 100% of their respective annual net income or the amount which is adjusted in accordance with our relevant WFOE’s sole discretion for the relevant year as well as the mutually agreed amount for certain other technical services, both of which should be paid within three months after the end of the relevant calendar year. Our WFOEs have the exclusive ownership of all the intellectual property rights created as a result of the performance of the exclusive consultation and service agreement, to the extent permitted by applicable PRC laws. In 2023, 2024 and 2025, our WFOEs did not collect service fees from the VIEs in China under the exclusive consultation and service agreements.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For asset/cash flows other than the cash flows discussed above transferred through our organization in the years ended December 31, 2023, 2024 and 2025, please refer to “Item 3. Key Information—A. Selected Financial Data—Selected Financial Information Related to the VIEs—Selected Condensed Consolidated Cash Flow Data” in our 2025 Form 20-F.</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For the years ended December 31, 2023 and 2024, no dividends or distributions were made to U.S. investors. On July 14, 2025, the board of directors of Viomi Technology Co., Ltd declared a special dividend of US$0.0293 per ordinary share, or US$0.0880 per ADS, to the holders of ordinary shares and holders of ADSs of record as of the close of business on July 31, 2025. On March 25, 2026, the board of directors of Viomi Technology Co., Ltd declared another special dividend of US$0.022 per ordinary share, or US$0.066 per ADS, to the holders of ordinary shares and holders of ADSs of record as of the close of business on April 6, 2026.</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For the years ended December 31, 2023, 2024 and 2025, no dividend or distribution was made to Viomi Technology Co., Ltd or its offshore subsidiaries by our PRC subsidiaries. Accordingly, no withholding tax was recorded in the corresponding period. See “Item 8. Financial Information—A. Consolidated Statements and Other Financial Information—Dividend Policy” in our 2025 Form 20-F. For PRC and United States federal income tax considerations of an investment in our ADSs, see “Item 10. Additional Information—E. Taxation” in our 2025 Form 20-F.</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For purposes of illustration, the following discussion reflects the hypothetical taxes that might be required to be paid within mainland China, assuming that: (i) we have taxable earnings, and (ii) we determine to pay a dividend in the future:</w:t>
      </w:r>
    </w:p>
    <w:p>
      <w:pPr>
        <w:pStyle w:val="TextBody"/>
        <w:bidi w:val="0"/>
        <w:spacing w:before="0" w:after="0"/>
        <w:ind w:left="0" w:right="0" w:firstLine="720"/>
        <w:jc w:val="left"/>
        <w:rPr>
          <w:caps w:val="false"/>
          <w:smallCaps w:val="false"/>
          <w:bdr w:val="single" w:sz="8" w:space="7" w:color="000000"/>
        </w:rPr>
      </w:pPr>
      <w:r>
        <w:rPr>
          <w:caps w:val="false"/>
          <w:smallCaps w:val="false"/>
          <w:bdr w:val="single" w:sz="8" w:space="7" w:color="000000"/>
        </w:rPr>
        <w:t> </w:t>
      </w:r>
    </w:p>
    <w:tbl>
      <w:tblPr>
        <w:tblW w:w="6029" w:type="dxa"/>
        <w:jc w:val="left"/>
        <w:tblInd w:w="0" w:type="dxa"/>
        <w:tblLayout w:type="fixed"/>
        <w:tblCellMar>
          <w:top w:w="0" w:type="dxa"/>
          <w:left w:w="0" w:type="dxa"/>
          <w:bottom w:w="0" w:type="dxa"/>
          <w:right w:w="0" w:type="dxa"/>
        </w:tblCellMar>
      </w:tblPr>
      <w:tblGrid>
        <w:gridCol w:w="3695"/>
        <w:gridCol w:w="60"/>
        <w:gridCol w:w="234"/>
        <w:gridCol w:w="1735"/>
        <w:gridCol w:w="30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Scenario</w:t>
            </w:r>
            <w:r>
              <w:rPr>
                <w:rFonts w:ascii="Times New Roman;Times;Serif" w:hAnsi="Times New Roman;Times;Serif"/>
                <w:b/>
                <w:i w:val="false"/>
                <w:caps w:val="false"/>
                <w:smallCaps w:val="false"/>
                <w:position w:val="7"/>
                <w:sz w:val="16"/>
                <w:sz w:val="20"/>
              </w:rPr>
              <w:t>(1)</w:t>
            </w:r>
          </w:p>
        </w:tc>
        <w:tc>
          <w:tcPr>
            <w:tcW w:w="30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9" w:type="dxa"/>
            <w:gridSpan w:val="2"/>
            <w:tcBorders>
              <w:bottom w:val="single" w:sz="8" w:space="0" w:color="000000"/>
            </w:tcBorders>
            <w:tcMar>
              <w:bottom w:w="28" w:type="dxa"/>
            </w:tcMar>
            <w:vAlign w:val="center"/>
          </w:tcPr>
          <w:p>
            <w:pPr>
              <w:pStyle w:val="TableContents"/>
              <w:bidi w:val="0"/>
              <w:jc w:val="center"/>
              <w:rPr>
                <w:b/>
              </w:rPr>
            </w:pPr>
            <w:r>
              <w:rPr>
                <w:b/>
              </w:rPr>
              <w:t>(Statutory Tax and</w:t>
            </w:r>
          </w:p>
          <w:p>
            <w:pPr>
              <w:pStyle w:val="TableContents"/>
              <w:bidi w:val="0"/>
              <w:spacing w:before="0" w:after="283"/>
              <w:jc w:val="center"/>
              <w:rPr>
                <w:b/>
              </w:rPr>
            </w:pPr>
            <w:r>
              <w:rPr>
                <w:b/>
              </w:rPr>
              <w:t>Standard Rates)</w:t>
            </w:r>
          </w:p>
        </w:tc>
        <w:tc>
          <w:tcPr>
            <w:tcW w:w="30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Hypothetical pre-tax earnings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735" w:type="dxa"/>
            <w:tcBorders/>
            <w:shd w:fill="CCEEFF" w:val="clear"/>
            <w:vAlign w:val="center"/>
          </w:tcPr>
          <w:p>
            <w:pPr>
              <w:pStyle w:val="TableContents"/>
              <w:bidi w:val="0"/>
              <w:spacing w:before="0" w:after="283"/>
              <w:jc w:val="right"/>
              <w:rPr/>
            </w:pPr>
            <w:r>
              <w:rPr/>
              <w:t>100</w:t>
            </w:r>
          </w:p>
        </w:tc>
        <w:tc>
          <w:tcPr>
            <w:tcW w:w="305" w:type="dxa"/>
            <w:tcBorders/>
            <w:shd w:fill="CCEEFF" w:val="clear"/>
            <w:vAlign w:val="center"/>
          </w:tcPr>
          <w:p>
            <w:pPr>
              <w:pStyle w:val="TableContents"/>
              <w:bidi w:val="0"/>
              <w:spacing w:before="0" w:after="283"/>
              <w:jc w:val="left"/>
              <w:rPr/>
            </w:pPr>
            <w:r>
              <w:rPr/>
              <w:t>%</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on earnings at statutory rate of 25%</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735" w:type="dxa"/>
            <w:tcBorders/>
            <w:shd w:fill="FFFFFF" w:val="clear"/>
            <w:vAlign w:val="center"/>
          </w:tcPr>
          <w:p>
            <w:pPr>
              <w:pStyle w:val="TableContents"/>
              <w:bidi w:val="0"/>
              <w:spacing w:before="0" w:after="283"/>
              <w:jc w:val="right"/>
              <w:rPr/>
            </w:pPr>
            <w:r>
              <w:rPr/>
              <w:t>(25</w:t>
            </w:r>
          </w:p>
        </w:tc>
        <w:tc>
          <w:tcPr>
            <w:tcW w:w="305"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Net earnings available for distribution</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735" w:type="dxa"/>
            <w:tcBorders/>
            <w:shd w:fill="CCEEFF" w:val="clear"/>
            <w:vAlign w:val="center"/>
          </w:tcPr>
          <w:p>
            <w:pPr>
              <w:pStyle w:val="TableContents"/>
              <w:bidi w:val="0"/>
              <w:spacing w:before="0" w:after="283"/>
              <w:jc w:val="right"/>
              <w:rPr/>
            </w:pPr>
            <w:r>
              <w:rPr/>
              <w:t>75</w:t>
            </w:r>
          </w:p>
        </w:tc>
        <w:tc>
          <w:tcPr>
            <w:tcW w:w="305" w:type="dxa"/>
            <w:tcBorders/>
            <w:shd w:fill="CCEEFF" w:val="clear"/>
            <w:vAlign w:val="center"/>
          </w:tcPr>
          <w:p>
            <w:pPr>
              <w:pStyle w:val="TableContents"/>
              <w:bidi w:val="0"/>
              <w:spacing w:before="0" w:after="283"/>
              <w:jc w:val="left"/>
              <w:rPr/>
            </w:pPr>
            <w:r>
              <w:rPr/>
              <w:t>%</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Withholding tax at standard rate of 10%</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735" w:type="dxa"/>
            <w:tcBorders/>
            <w:shd w:fill="FFFFFF" w:val="clear"/>
            <w:vAlign w:val="center"/>
          </w:tcPr>
          <w:p>
            <w:pPr>
              <w:pStyle w:val="TableContents"/>
              <w:bidi w:val="0"/>
              <w:spacing w:before="0" w:after="283"/>
              <w:jc w:val="right"/>
              <w:rPr/>
            </w:pPr>
            <w:r>
              <w:rPr/>
              <w:t>(7.5</w:t>
            </w:r>
          </w:p>
        </w:tc>
        <w:tc>
          <w:tcPr>
            <w:tcW w:w="305"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Net distribution to Parent/Shareholders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735" w:type="dxa"/>
            <w:tcBorders/>
            <w:shd w:fill="CCEEFF" w:val="clear"/>
            <w:vAlign w:val="center"/>
          </w:tcPr>
          <w:p>
            <w:pPr>
              <w:pStyle w:val="TableContents"/>
              <w:bidi w:val="0"/>
              <w:spacing w:before="0" w:after="283"/>
              <w:jc w:val="right"/>
              <w:rPr/>
            </w:pPr>
            <w:r>
              <w:rPr/>
              <w:t>67.5</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Notes:</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example, the tax calculation has been simplified. The hypothetical book pre-tax earnings amount, not considering timing differences, is assumed to equal taxable income in China.</w:t>
            </w:r>
          </w:p>
        </w:tc>
      </w:tr>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contractual arrangements between our PRC subsidiaries, the VIEs and shareholders of the VIEs, our PRC subsidiaries may charge the VIEs for services provided. These fees shall be recognized as expenses of the VIEs, with a corresponding amount as service income by our PRC subsidiaries and eliminate in consolidation. For income tax purposes, our PRC subsidiaries and the VIEs file income tax returns on a separate company basis. The fees paid are recognized as a tax deduction by the VIEs and as income by our PRC subsidiaries and are tax neutral.</w:t>
            </w:r>
          </w:p>
        </w:tc>
      </w:tr>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subsidiaries and the VIEs qualifies for a 15% preferential income tax rate in China.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w:t>
            </w:r>
          </w:p>
        </w:tc>
      </w:tr>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Enterprise Income Tax Law of the PRC imposes a withholding income tax of 10% on dividends distributed by a foreign invested enterprise to its immediate holding company outside of mainland China. A lower withholding income tax rate of 5% is applied if the FIE’s immediate holding company is registered in Hong Kong or other jurisdictions that have a tax treaty arrangement with mainland China, subject to a qualification review at the time of the distribution. For purposes of this hypothetical example, the table above assumes a maximum tax scenario under which the full withholding tax would be applied.</w:t>
            </w:r>
          </w:p>
        </w:tc>
      </w:tr>
    </w:tbl>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The table above has been prepared under the assumption that all profits of the VIEs will be distributed as fees to our PRC subsidiaries under tax neutral contractual arrangements. If, in the future, the accumulated earnings of the VIEs exceed the fees paid to our PRC subsidiaries (or if the current and contemplated fee structure between the intercompany entities is determined to be non-substantive and disallowed by Chinese tax authorities), the VIEs could, as a matter of last resort, make a non-deductible transfer to our PRC subsidiaries for the amounts of the stranded cash in the VIEs. This would result in such transfer being non-deductible expenses for the VIEs but still taxable income for the PRC subsidiaries. Such a transfer and the related tax burdens would reduce our after-tax income to approximately 50.6% of the pre-tax income. Our management believes that there is only a remote possibility that this scenario would happen.</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7" w:color="000000"/>
        </w:rPr>
      </w:pPr>
      <w:r>
        <w:rPr>
          <w:rFonts w:ascii="Times New Roman;Times;Serif" w:hAnsi="Times New Roman;Times;Serif"/>
          <w:b/>
          <w:i w:val="false"/>
          <w:caps w:val="false"/>
          <w:smallCaps w:val="false"/>
          <w:sz w:val="20"/>
          <w:bdr w:val="single" w:sz="8" w:space="7" w:color="000000"/>
        </w:rPr>
        <w:t>The Holding Foreign Companies Accountable Act</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Pursuant to the Holding Foreign Companies Accountable Act, which was enacted on December 18, 2020 and further amended by the Consolidated Appropriations Act, 2023 signed into law on December 29, 2022, or HFCAA,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On December 16, 2021, the PCAOB issued a report to notify the SEC its determinations that it is unable to inspect or investigate completely registered public accounting firms headquartered in mainland China and Hong Kong, including our auditor. In May 2022, the SEC conclusively listed us as a Commission-Identified Issuer under the HFCAA following the filing of this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As of the date of this prospectus, the PCAOB has not issued any new determination regarding its ability to inspect or investigate registered public accounting firms headquartered in mainland China and Hong Kong. For this reason, we do not expect to be identified as a Commission-Identified Issuer under the HFCAA after we file this prospectus. Each year, the PCAOB will determine whether it can inspect and investigate completely audit firms in mainland China and Hong Kong, among other jurisdictions. If PCAOB determines in the future that it no longer has full access to inspect and investigate completely accounting firms in mainland China and Hong Kong and we continue to use an accounting firm headquartered in one of these jurisdictions to issue an audit report on our consolidated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The delisting of our ADSs, or the threat of their being delisted, may materially and adversely affect the value of your investment. These risks could result in a material adverse change in our and the VIEs’ operations and the value of our ADSs, significantly limit or completely hinder our ability to continue to offer securities to investors, or cause the value of such securities to significantly decline or become worthless. For a detailed description of risks related to doing business in China, please refer to risks disclosed under “Item 3. Key Information—D. Risk Factors—Risks Related to Doing Business in China” in our 2025 Form 20-F.</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7" w:color="000000"/>
        </w:rPr>
      </w:pPr>
      <w:r>
        <w:rPr>
          <w:rFonts w:ascii="Times New Roman;Times;Serif" w:hAnsi="Times New Roman;Times;Serif"/>
          <w:b/>
          <w:i w:val="false"/>
          <w:caps w:val="false"/>
          <w:smallCaps w:val="false"/>
          <w:sz w:val="20"/>
          <w:bdr w:val="single" w:sz="8" w:space="7" w:color="000000"/>
        </w:rPr>
        <w:t>Permission Required from the PRC Authorities for Our and the VIEs’ Operations</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We conduct business primarily through our subsidiaries and the VIEs and their subsidiaries in China. Our and the VIEs’ operations in China are governed by PRC laws and regulations. To comply with these laws and regulations, prior to the completion of 2024 reorganization transaction, our PRC subsidiaries and the VIEs and their subsidiaries have obtained the requisite licenses and permits from the PRC government authorities that are material for the business operations of our holding company, our PRC subsidiaries and the VIEs in China, including, among others, the business licenses, the hygiene permits for products related to hygiene and safety of potable water, the compulsory product certification and the operating permit for e-commerce services and internet information services. After the completion of the 2024 reorganization transaction, Guangdong Interconnect has obtained the operating permit for e-commerce services and the operating permit for internet information services. According to relevant PRC laws and regulations, we are required to renew these permits and certificates and continue to apply for permits and certificates for our new products. We cannot predict whether or for how long we will be able to obtain such permit and certificates. Given the uncertainties of interpretation and implementation of laws and regulations and the enforcement practice by government authorities, we and the VIEs may be required to obtain additional licenses, permits, filings or approvals for the functions and services of our platform in the future. For more detailed information, see “Item 3. Key Information—D. Risk Factors—Risks Related to Doing Business in China—We may be adversely affected by the complexity, uncertainties and changes in PRC regulation of internet-related businesses and companies, and any lack of requisite approvals, licenses or permits applicable to our business may have a material adverse effect on our business and results of operations” in our 2025 Form 20-F.</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Furthermore, we and the VIEs may be required to obtain permissions from or complete filings with the China Securities Regulatory Commission, or the CSRC, and may be required to go through cybersecurity review by the Cyberspace Administration of China, or the CAC, in case of any future issuance of securities to foreign investors. According to the Trial Measures for Overseas Listing, subsequent securities offerings of an issuer in the same overseas market where it has previously offered and listed securities shall be filed with the CSRC within three business days after the offering is completed. Any failure to obtain or delay in obtaining such approval or completing such procedures would subject us to sanctions by the CSRC, CAC or other PRC regulatory authorities. These regulatory authorities may impose fines and penalties on our and the VIEs’ operations in China, limit our ability to pay dividends outside of China, limit our operating privileges in China, delay or restrict the repatriation of the proceeds from our offshore offerings into China or take other actions that could materially and adversely affect our and the VIEs’ business, financial condition, results of operations, and prospects, as well as the trading price of our ADSs. See “Item 3. Key Information—D. Risk Factors—Risks Related to Doing Business in China—The PRC government’s significant oversight and discretion over our business operation could result in a material adverse change in our operations and the value of our ADSs,” and “Item 3. Key Information—D. Risk Factors—Risks Related to Doing Business in China—The approval of and filing with the CSRC or other PRC government authorities may be required if we were to conduct offshore offerings in the future, and, if required, we cannot predict whether or for how long we will be able to obtain such approval or complete such filing” in our 2025 Form 20-F.</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7" w:color="000000"/>
        </w:rPr>
      </w:pPr>
      <w:r>
        <w:rPr>
          <w:rFonts w:ascii="Times New Roman;Times;Serif" w:hAnsi="Times New Roman;Times;Serif"/>
          <w:b/>
          <w:i w:val="false"/>
          <w:caps w:val="false"/>
          <w:smallCaps w:val="false"/>
          <w:sz w:val="20"/>
          <w:bdr w:val="single" w:sz="8" w:space="7" w:color="000000"/>
        </w:rPr>
        <w:t>Financial Information Related to the Consolidated Variable Interest Entities</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Set forth below are the condensed consolidated schedule showing the financial position as of December 31, 2023, 2024 and 2025, and results of operations and cash flows for the years ended December 31, 2023, 2024 and 2025 for (i) Viomi Technology Co., Ltd, or the Company; (ii) our equity subsidiaries and primary beneficiaries of VIEs (our WFOEs) and their subsidiaries; (iii) the VIEs and their subsidiaries; (iv) eliminating adjustments; and (v) consolidated totals.</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On July 19, 2024, in furtherance of its “Focus” strategy for the Home water solution businesses, the Group entered into definitive agreements with Mr. Chen and an entity under his control to divest its businesses and assets related to certain Internet-of-things-enabled (“IoT-enabled”) smart home portfolio products (the “Disposal”). The transfer of the IoT@Home portfolio products (excluding range hoods, gas stoves, and water heaters) to Mr. Chen was accomplished through the termination of the existing VIE contractual arrangements between Yunmi Hulian Technology (Guangdong) Co., Ltd. (“Yunmi Hulian”) and Foshan Yunmi Electric Appliances Technology Co., Ltd. (“Foshan Viomi”) at closing. This termination resulted in Mr. Chen, the shareholder of Foshan Viomi, obtaining full control over Foshan Viomi and its subsidiaries. As part of a pre-closing reorganization, Zhumeng Hulian Technology (Guangdong) Co., Ltd. (“Zhumeng Hulian”) and Guangdong Interconnect Electric Appliances Technology Co., Ltd. (“Guangdong Interconnect”) entered into a new set of VIE contractual arrangements. Consequently, Zhumeng Hulian is regarded as the primary beneficiary of Guangdong Interconnect and the Group consolidates its operational results, assets, and liabilities into the Group’s consolidated financial statements. The transaction was completed on August 31, 2024.</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Prior to the Disposal, Yunmi Hulian and its subsidiaries were classified as “Primary Beneficiaries of VIEs and their Subsidiaries”, while Zhumeng Hulian and its subsidiaries were classified as “Equity Subsidiaries”. Following the completion of the Disposal on August 31, 2024, Yunmi Hulian and its subsidiaries were reclassified as “Equity Subsidiaries”, and Zhumeng Hulian were reclassified as “Primary Beneficiaries of VIEs and their Subsidiaries”. To enhance the comparability of the selected condensed consolidated financial data before and after the Disposal, we combined the condensed consolidated financial data of both “Equity Subsidiaries” and “Primary Beneficiaries of VIEs and their Subsidiaries” as of December 31, 2024 and 2025, and for the years ended December 31, 2023, 2024 and 2025.</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7" w:color="000000"/>
        </w:rPr>
      </w:pPr>
      <w:r>
        <w:rPr>
          <w:rFonts w:ascii="Times New Roman;Times;Serif" w:hAnsi="Times New Roman;Times;Serif"/>
          <w:b/>
          <w:i/>
          <w:caps w:val="false"/>
          <w:smallCaps w:val="false"/>
          <w:sz w:val="20"/>
          <w:bdr w:val="single" w:sz="8" w:space="7" w:color="000000"/>
        </w:rPr>
        <w:t>Selected Condensed Consolidated Statements of Operations Data</w:t>
      </w:r>
    </w:p>
    <w:p>
      <w:pPr>
        <w:pStyle w:val="TextBody"/>
        <w:bidi w:val="0"/>
        <w:spacing w:before="0" w:after="0"/>
        <w:ind w:left="0" w:right="0" w:hanging="0"/>
        <w:jc w:val="left"/>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3720"/>
        <w:gridCol w:w="60"/>
        <w:gridCol w:w="60"/>
        <w:gridCol w:w="800"/>
        <w:gridCol w:w="95"/>
        <w:gridCol w:w="60"/>
        <w:gridCol w:w="60"/>
        <w:gridCol w:w="1070"/>
        <w:gridCol w:w="95"/>
        <w:gridCol w:w="60"/>
        <w:gridCol w:w="91"/>
        <w:gridCol w:w="964"/>
        <w:gridCol w:w="95"/>
        <w:gridCol w:w="60"/>
        <w:gridCol w:w="83"/>
        <w:gridCol w:w="1212"/>
        <w:gridCol w:w="95"/>
        <w:gridCol w:w="60"/>
        <w:gridCol w:w="72"/>
        <w:gridCol w:w="1283"/>
        <w:gridCol w:w="110"/>
      </w:tblGrid>
      <w:tr>
        <w:trPr/>
        <w:tc>
          <w:tcPr>
            <w:tcW w:w="3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1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 2025</w:t>
            </w:r>
          </w:p>
        </w:tc>
        <w:tc>
          <w:tcPr>
            <w:tcW w:w="110" w:type="dxa"/>
            <w:tcBorders/>
            <w:vAlign w:val="center"/>
          </w:tcPr>
          <w:p>
            <w:pPr>
              <w:pStyle w:val="TableContents"/>
              <w:bidi w:val="0"/>
              <w:spacing w:before="0" w:after="283"/>
              <w:jc w:val="left"/>
              <w:rPr/>
            </w:pPr>
            <w:r>
              <w:rPr/>
              <w:t> </w:t>
            </w:r>
          </w:p>
        </w:tc>
      </w:tr>
      <w:tr>
        <w:trPr/>
        <w:tc>
          <w:tcPr>
            <w:tcW w:w="37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Primary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110" w:type="dxa"/>
            <w:tcBorders/>
            <w:vAlign w:val="center"/>
          </w:tcPr>
          <w:p>
            <w:pPr>
              <w:pStyle w:val="TableContents"/>
              <w:bidi w:val="0"/>
              <w:spacing w:before="0" w:after="283"/>
              <w:jc w:val="left"/>
              <w:rPr/>
            </w:pPr>
            <w:r>
              <w:rPr/>
              <w:t> </w:t>
            </w:r>
          </w:p>
        </w:tc>
      </w:tr>
      <w:tr>
        <w:trPr/>
        <w:tc>
          <w:tcPr>
            <w:tcW w:w="3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15" w:type="dxa"/>
            <w:gridSpan w:val="18"/>
            <w:tcBorders/>
            <w:vAlign w:val="center"/>
          </w:tcPr>
          <w:p>
            <w:pPr>
              <w:pStyle w:val="TableContents"/>
              <w:bidi w:val="0"/>
              <w:spacing w:before="0" w:after="283"/>
              <w:jc w:val="center"/>
              <w:rPr>
                <w:b/>
              </w:rPr>
            </w:pPr>
            <w:r>
              <w:rPr>
                <w:b/>
              </w:rPr>
              <w:t>(RMB in thousands)</w:t>
            </w:r>
          </w:p>
        </w:tc>
        <w:tc>
          <w:tcPr>
            <w:tcW w:w="110" w:type="dxa"/>
            <w:tcBorders/>
            <w:vAlign w:val="center"/>
          </w:tcPr>
          <w:p>
            <w:pPr>
              <w:pStyle w:val="TableContents"/>
              <w:bidi w:val="0"/>
              <w:spacing w:before="0" w:after="283"/>
              <w:jc w:val="left"/>
              <w:rPr/>
            </w:pPr>
            <w:r>
              <w:rPr/>
              <w:t> </w:t>
            </w:r>
          </w:p>
        </w:tc>
      </w:tr>
      <w:tr>
        <w:trPr/>
        <w:tc>
          <w:tcPr>
            <w:tcW w:w="3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Inter-company revenues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1,528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20" w:type="dxa"/>
            <w:tcBorders/>
            <w:shd w:fill="FFFFFF" w:val="clear"/>
            <w:vAlign w:val="center"/>
          </w:tcPr>
          <w:p>
            <w:pPr>
              <w:pStyle w:val="TableContents"/>
              <w:bidi w:val="0"/>
              <w:spacing w:before="0" w:after="283"/>
              <w:jc w:val="left"/>
              <w:rPr/>
            </w:pPr>
            <w:r>
              <w:rPr/>
              <w:t>Related-party and third-party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pPr>
            <w:r>
              <w:rPr/>
              <w:t>2,428,056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pPr>
            <w:r>
              <w:rPr/>
              <w:t>170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2,428,226</w:t>
            </w:r>
          </w:p>
        </w:tc>
        <w:tc>
          <w:tcPr>
            <w:tcW w:w="110" w:type="dxa"/>
            <w:tcBorders/>
            <w:shd w:fill="FFFFFF" w:val="clear"/>
            <w:vAlign w:val="center"/>
          </w:tcPr>
          <w:p>
            <w:pPr>
              <w:pStyle w:val="TableContents"/>
              <w:bidi w:val="0"/>
              <w:spacing w:before="0" w:after="283"/>
              <w:jc w:val="left"/>
              <w:rPr/>
            </w:pPr>
            <w:r>
              <w:rPr/>
              <w:t> </w:t>
            </w:r>
          </w:p>
        </w:tc>
      </w:tr>
      <w:tr>
        <w:trPr/>
        <w:tc>
          <w:tcPr>
            <w:tcW w:w="3720"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2,428,067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1,698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(1,539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2,428,226</w:t>
            </w:r>
          </w:p>
        </w:tc>
        <w:tc>
          <w:tcPr>
            <w:tcW w:w="110" w:type="dxa"/>
            <w:tcBorders/>
            <w:shd w:fill="CCEEFF" w:val="clear"/>
            <w:vAlign w:val="center"/>
          </w:tcPr>
          <w:p>
            <w:pPr>
              <w:pStyle w:val="TableContents"/>
              <w:bidi w:val="0"/>
              <w:spacing w:before="0" w:after="283"/>
              <w:jc w:val="left"/>
              <w:rPr/>
            </w:pPr>
            <w:r>
              <w:rPr/>
              <w:t> </w:t>
            </w:r>
          </w:p>
        </w:tc>
      </w:tr>
      <w:tr>
        <w:trPr/>
        <w:tc>
          <w:tcPr>
            <w:tcW w:w="3720" w:type="dxa"/>
            <w:tcBorders/>
            <w:shd w:fill="FFFFFF" w:val="clear"/>
            <w:vAlign w:val="center"/>
          </w:tcPr>
          <w:p>
            <w:pPr>
              <w:pStyle w:val="TableContents"/>
              <w:bidi w:val="0"/>
              <w:spacing w:before="0" w:after="283"/>
              <w:jc w:val="left"/>
              <w:rPr>
                <w:b/>
              </w:rPr>
            </w:pPr>
            <w:r>
              <w:rPr>
                <w:b/>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(1,811,321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(1,905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(1,813,226</w:t>
            </w:r>
          </w:p>
        </w:tc>
        <w:tc>
          <w:tcPr>
            <w:tcW w:w="110" w:type="dxa"/>
            <w:tcBorders/>
            <w:shd w:fill="FFFFFF" w:val="clear"/>
            <w:vAlign w:val="center"/>
          </w:tcPr>
          <w:p>
            <w:pPr>
              <w:pStyle w:val="TableContents"/>
              <w:bidi w:val="0"/>
              <w:spacing w:before="0" w:after="283"/>
              <w:jc w:val="left"/>
              <w:rPr>
                <w:b/>
              </w:rPr>
            </w:pPr>
            <w:r>
              <w:rPr>
                <w:b/>
              </w:rPr>
              <w:t>)</w:t>
            </w:r>
          </w:p>
        </w:tc>
      </w:tr>
      <w:tr>
        <w:trPr/>
        <w:tc>
          <w:tcPr>
            <w:tcW w:w="3720"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(166,500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(136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1,043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(165,593</w:t>
            </w:r>
          </w:p>
        </w:tc>
        <w:tc>
          <w:tcPr>
            <w:tcW w:w="110" w:type="dxa"/>
            <w:tcBorders/>
            <w:shd w:fill="CCEEFF" w:val="clear"/>
            <w:vAlign w:val="center"/>
          </w:tcPr>
          <w:p>
            <w:pPr>
              <w:pStyle w:val="TableContents"/>
              <w:bidi w:val="0"/>
              <w:spacing w:before="0" w:after="283"/>
              <w:jc w:val="left"/>
              <w:rPr/>
            </w:pPr>
            <w:r>
              <w:rPr/>
              <w:t>)</w:t>
            </w:r>
          </w:p>
        </w:tc>
      </w:tr>
      <w:tr>
        <w:trPr/>
        <w:tc>
          <w:tcPr>
            <w:tcW w:w="3720"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(278,179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496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(277,681</w:t>
            </w:r>
          </w:p>
        </w:tc>
        <w:tc>
          <w:tcPr>
            <w:tcW w:w="110" w:type="dxa"/>
            <w:tcBorders/>
            <w:shd w:fill="FFFFFF" w:val="clear"/>
            <w:vAlign w:val="center"/>
          </w:tcPr>
          <w:p>
            <w:pPr>
              <w:pStyle w:val="TableContents"/>
              <w:bidi w:val="0"/>
              <w:spacing w:before="0" w:after="283"/>
              <w:jc w:val="left"/>
              <w:rPr/>
            </w:pPr>
            <w:r>
              <w:rPr/>
              <w:t>)</w:t>
            </w:r>
          </w:p>
        </w:tc>
      </w:tr>
      <w:tr>
        <w:trPr/>
        <w:tc>
          <w:tcPr>
            <w:tcW w:w="372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(4,582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pPr>
            <w:r>
              <w:rPr/>
              <w:t>(81,554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CCEEFF" w:val="clear"/>
            <w:tcMar>
              <w:bottom w:w="28" w:type="dxa"/>
            </w:tcM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pPr>
            <w:r>
              <w:rPr/>
              <w:t>(86,123</w:t>
            </w:r>
          </w:p>
        </w:tc>
        <w:tc>
          <w:tcPr>
            <w:tcW w:w="110" w:type="dxa"/>
            <w:tcBorders/>
            <w:shd w:fill="CCEEFF" w:val="clear"/>
            <w:vAlign w:val="center"/>
          </w:tcPr>
          <w:p>
            <w:pPr>
              <w:pStyle w:val="TableContents"/>
              <w:bidi w:val="0"/>
              <w:spacing w:before="0" w:after="283"/>
              <w:jc w:val="left"/>
              <w:rPr/>
            </w:pPr>
            <w:r>
              <w:rPr/>
              <w:t>)</w:t>
            </w:r>
          </w:p>
        </w:tc>
      </w:tr>
      <w:tr>
        <w:trPr/>
        <w:tc>
          <w:tcPr>
            <w:tcW w:w="372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(4,582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b/>
              </w:rPr>
            </w:pPr>
            <w:r>
              <w:rPr>
                <w:b/>
              </w:rPr>
              <w:t>(526,233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b/>
              </w:rPr>
            </w:pPr>
            <w:r>
              <w:rPr>
                <w:b/>
              </w:rPr>
              <w:t>(121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b/>
              </w:rPr>
            </w:pPr>
            <w:r>
              <w:rPr>
                <w:b/>
              </w:rPr>
              <w:t>1,539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(529,397</w:t>
            </w:r>
          </w:p>
        </w:tc>
        <w:tc>
          <w:tcPr>
            <w:tcW w:w="110" w:type="dxa"/>
            <w:tcBorders/>
            <w:shd w:fill="FFFFFF" w:val="clear"/>
            <w:vAlign w:val="center"/>
          </w:tcPr>
          <w:p>
            <w:pPr>
              <w:pStyle w:val="TableContents"/>
              <w:bidi w:val="0"/>
              <w:spacing w:before="0" w:after="283"/>
              <w:jc w:val="left"/>
              <w:rPr>
                <w:b/>
              </w:rPr>
            </w:pPr>
            <w:r>
              <w:rPr>
                <w:b/>
              </w:rPr>
              <w:t>)</w:t>
            </w:r>
          </w:p>
        </w:tc>
      </w:tr>
      <w:tr>
        <w:trPr/>
        <w:tc>
          <w:tcPr>
            <w:tcW w:w="3720"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43,347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42,951</w:t>
            </w:r>
          </w:p>
        </w:tc>
        <w:tc>
          <w:tcPr>
            <w:tcW w:w="110" w:type="dxa"/>
            <w:tcBorders/>
            <w:shd w:fill="CCEEFF" w:val="clear"/>
            <w:vAlign w:val="center"/>
          </w:tcPr>
          <w:p>
            <w:pPr>
              <w:pStyle w:val="TableContents"/>
              <w:bidi w:val="0"/>
              <w:spacing w:before="0" w:after="283"/>
              <w:jc w:val="left"/>
              <w:rPr/>
            </w:pPr>
            <w:r>
              <w:rPr/>
              <w:t> </w:t>
            </w:r>
          </w:p>
        </w:tc>
      </w:tr>
      <w:tr>
        <w:trPr/>
        <w:tc>
          <w:tcPr>
            <w:tcW w:w="3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in (loss)/gain of subsidiaries/VIEs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127,470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pPr>
            <w:r>
              <w:rPr/>
              <w:t>(411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(127,059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720" w:type="dxa"/>
            <w:tcBorders/>
            <w:shd w:fill="CCEEFF" w:val="clear"/>
            <w:vAlign w:val="center"/>
          </w:tcPr>
          <w:p>
            <w:pPr>
              <w:pStyle w:val="TableContents"/>
              <w:bidi w:val="0"/>
              <w:spacing w:before="0" w:after="283"/>
              <w:jc w:val="left"/>
              <w:rPr>
                <w:b/>
              </w:rPr>
            </w:pPr>
            <w:r>
              <w:rPr>
                <w:b/>
              </w:rPr>
              <w:t>Income/(Loss) from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122,578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b/>
              </w:rPr>
            </w:pPr>
            <w:r>
              <w:rPr>
                <w:b/>
              </w:rPr>
              <w:t>133,449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b/>
              </w:rPr>
            </w:pPr>
            <w:r>
              <w:rPr>
                <w:b/>
              </w:rPr>
              <w:t>(414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b/>
              </w:rPr>
            </w:pPr>
            <w:r>
              <w:rPr>
                <w:b/>
              </w:rPr>
              <w:t>(127,059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128,554</w:t>
            </w:r>
          </w:p>
        </w:tc>
        <w:tc>
          <w:tcPr>
            <w:tcW w:w="110" w:type="dxa"/>
            <w:tcBorders/>
            <w:shd w:fill="CCEEFF" w:val="clear"/>
            <w:vAlign w:val="center"/>
          </w:tcPr>
          <w:p>
            <w:pPr>
              <w:pStyle w:val="TableContents"/>
              <w:bidi w:val="0"/>
              <w:spacing w:before="0" w:after="283"/>
              <w:jc w:val="left"/>
              <w:rPr/>
            </w:pPr>
            <w:r>
              <w:rPr/>
              <w:t> </w:t>
            </w:r>
          </w:p>
        </w:tc>
      </w:tr>
      <w:tr>
        <w:trPr/>
        <w:tc>
          <w:tcPr>
            <w:tcW w:w="3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income and investment income-net</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19,066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7,464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26,533</w:t>
            </w:r>
          </w:p>
        </w:tc>
        <w:tc>
          <w:tcPr>
            <w:tcW w:w="110" w:type="dxa"/>
            <w:tcBorders/>
            <w:shd w:fill="FFFFFF" w:val="clear"/>
            <w:vAlign w:val="center"/>
          </w:tcPr>
          <w:p>
            <w:pPr>
              <w:pStyle w:val="TableContents"/>
              <w:bidi w:val="0"/>
              <w:spacing w:before="0" w:after="283"/>
              <w:jc w:val="left"/>
              <w:rPr/>
            </w:pPr>
            <w:r>
              <w:rPr/>
              <w:t> </w:t>
            </w:r>
          </w:p>
        </w:tc>
      </w:tr>
      <w:tr>
        <w:trPr/>
        <w:tc>
          <w:tcPr>
            <w:tcW w:w="3720" w:type="dxa"/>
            <w:tcBorders/>
            <w:shd w:fill="CCEEFF" w:val="clear"/>
            <w:vAlign w:val="center"/>
          </w:tcPr>
          <w:p>
            <w:pPr>
              <w:pStyle w:val="TableContents"/>
              <w:bidi w:val="0"/>
              <w:spacing w:before="0" w:after="283"/>
              <w:jc w:val="left"/>
              <w:rPr/>
            </w:pPr>
            <w:r>
              <w:rPr/>
              <w:t>Other non-operating income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pPr>
            <w:r>
              <w:rPr/>
              <w:t>(500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pPr>
            <w:r>
              <w:rPr/>
              <w:t>(500</w:t>
            </w:r>
          </w:p>
        </w:tc>
        <w:tc>
          <w:tcPr>
            <w:tcW w:w="110" w:type="dxa"/>
            <w:tcBorders/>
            <w:shd w:fill="CCEEFF" w:val="clear"/>
            <w:vAlign w:val="center"/>
          </w:tcPr>
          <w:p>
            <w:pPr>
              <w:pStyle w:val="TableContents"/>
              <w:bidi w:val="0"/>
              <w:spacing w:before="0" w:after="283"/>
              <w:jc w:val="left"/>
              <w:rPr/>
            </w:pPr>
            <w:r>
              <w:rPr/>
              <w:t>)</w:t>
            </w:r>
          </w:p>
        </w:tc>
      </w:tr>
      <w:tr>
        <w:trPr/>
        <w:tc>
          <w:tcPr>
            <w:tcW w:w="3720" w:type="dxa"/>
            <w:tcBorders/>
            <w:shd w:fill="FFFFFF" w:val="clear"/>
            <w:vAlign w:val="center"/>
          </w:tcPr>
          <w:p>
            <w:pPr>
              <w:pStyle w:val="TableContents"/>
              <w:bidi w:val="0"/>
              <w:spacing w:before="0" w:after="283"/>
              <w:jc w:val="left"/>
              <w:rPr>
                <w:b/>
              </w:rPr>
            </w:pPr>
            <w:r>
              <w:rPr>
                <w:b/>
              </w:rPr>
              <w:t>Income(Loss) before income tax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141,644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b/>
              </w:rPr>
            </w:pPr>
            <w:r>
              <w:rPr>
                <w:b/>
              </w:rPr>
              <w:t>140,413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b/>
              </w:rPr>
            </w:pPr>
            <w:r>
              <w:rPr>
                <w:b/>
              </w:rPr>
              <w:t>(411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b/>
              </w:rPr>
            </w:pPr>
            <w:r>
              <w:rPr>
                <w:b/>
              </w:rPr>
              <w:t>(127,059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154,587</w:t>
            </w:r>
          </w:p>
        </w:tc>
        <w:tc>
          <w:tcPr>
            <w:tcW w:w="110" w:type="dxa"/>
            <w:tcBorders/>
            <w:shd w:fill="FFFFFF" w:val="clear"/>
            <w:vAlign w:val="center"/>
          </w:tcPr>
          <w:p>
            <w:pPr>
              <w:pStyle w:val="TableContents"/>
              <w:bidi w:val="0"/>
              <w:spacing w:before="0" w:after="283"/>
              <w:jc w:val="left"/>
              <w:rPr/>
            </w:pPr>
            <w:r>
              <w:rPr/>
              <w:t> </w:t>
            </w:r>
          </w:p>
        </w:tc>
      </w:tr>
      <w:tr>
        <w:trPr/>
        <w:tc>
          <w:tcPr>
            <w:tcW w:w="3720" w:type="dxa"/>
            <w:tcBorders/>
            <w:shd w:fill="CCEEFF" w:val="clear"/>
            <w:vAlign w:val="center"/>
          </w:tcPr>
          <w:p>
            <w:pPr>
              <w:pStyle w:val="TableContents"/>
              <w:bidi w:val="0"/>
              <w:spacing w:before="0" w:after="283"/>
              <w:jc w:val="left"/>
              <w:rPr/>
            </w:pPr>
            <w:r>
              <w:rPr/>
              <w:t>Income tax credits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pPr>
            <w:r>
              <w:rPr/>
              <w:t>(12,658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pPr>
            <w:r>
              <w:rPr/>
              <w:t>(12,658</w:t>
            </w:r>
          </w:p>
        </w:tc>
        <w:tc>
          <w:tcPr>
            <w:tcW w:w="110" w:type="dxa"/>
            <w:tcBorders/>
            <w:shd w:fill="CCEEFF" w:val="clear"/>
            <w:vAlign w:val="center"/>
          </w:tcPr>
          <w:p>
            <w:pPr>
              <w:pStyle w:val="TableContents"/>
              <w:bidi w:val="0"/>
              <w:spacing w:before="0" w:after="283"/>
              <w:jc w:val="left"/>
              <w:rPr/>
            </w:pPr>
            <w:r>
              <w:rPr/>
              <w:t>)</w:t>
            </w:r>
          </w:p>
        </w:tc>
      </w:tr>
      <w:tr>
        <w:trPr/>
        <w:tc>
          <w:tcPr>
            <w:tcW w:w="3720" w:type="dxa"/>
            <w:tcBorders/>
            <w:shd w:fill="FFFFFF" w:val="clear"/>
            <w:vAlign w:val="center"/>
          </w:tcPr>
          <w:p>
            <w:pPr>
              <w:pStyle w:val="TableContents"/>
              <w:bidi w:val="0"/>
              <w:spacing w:before="0" w:after="283"/>
              <w:jc w:val="left"/>
              <w:rPr>
                <w:b/>
              </w:rPr>
            </w:pPr>
            <w:r>
              <w:rPr>
                <w:b/>
              </w:rPr>
              <w:t>Net income/(loss)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141,644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b/>
              </w:rPr>
            </w:pPr>
            <w:r>
              <w:rPr>
                <w:b/>
              </w:rPr>
              <w:t>127,755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b/>
              </w:rPr>
            </w:pPr>
            <w:r>
              <w:rPr>
                <w:b/>
              </w:rPr>
              <w:t>(411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b/>
              </w:rPr>
            </w:pPr>
            <w:r>
              <w:rPr>
                <w:b/>
              </w:rPr>
              <w:t>(127,059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141,929</w:t>
            </w:r>
          </w:p>
        </w:tc>
        <w:tc>
          <w:tcPr>
            <w:tcW w:w="110" w:type="dxa"/>
            <w:tcBorders/>
            <w:shd w:fill="FFFFFF" w:val="clear"/>
            <w:vAlign w:val="center"/>
          </w:tcPr>
          <w:p>
            <w:pPr>
              <w:pStyle w:val="TableContents"/>
              <w:bidi w:val="0"/>
              <w:spacing w:before="0" w:after="283"/>
              <w:jc w:val="left"/>
              <w:rPr/>
            </w:pPr>
            <w:r>
              <w:rPr/>
              <w:t> </w:t>
            </w:r>
          </w:p>
        </w:tc>
      </w:tr>
      <w:tr>
        <w:trPr/>
        <w:tc>
          <w:tcPr>
            <w:tcW w:w="3720" w:type="dxa"/>
            <w:tcBorders/>
            <w:shd w:fill="CCEEFF" w:val="clear"/>
            <w:vAlign w:val="center"/>
          </w:tcPr>
          <w:p>
            <w:pPr>
              <w:pStyle w:val="TableContents"/>
              <w:bidi w:val="0"/>
              <w:spacing w:before="0" w:after="283"/>
              <w:jc w:val="left"/>
              <w:rPr/>
            </w:pPr>
            <w:r>
              <w:rPr/>
              <w:t>Less: Net loss attributable to the non-controlling interest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285</w:t>
            </w:r>
          </w:p>
        </w:tc>
        <w:tc>
          <w:tcPr>
            <w:tcW w:w="110" w:type="dxa"/>
            <w:tcBorders/>
            <w:shd w:fill="CCEEFF" w:val="clear"/>
            <w:vAlign w:val="center"/>
          </w:tcPr>
          <w:p>
            <w:pPr>
              <w:pStyle w:val="TableContents"/>
              <w:bidi w:val="0"/>
              <w:spacing w:before="0" w:after="283"/>
              <w:jc w:val="left"/>
              <w:rPr/>
            </w:pPr>
            <w:r>
              <w:rPr/>
              <w:t> </w:t>
            </w:r>
          </w:p>
        </w:tc>
      </w:tr>
      <w:tr>
        <w:trPr/>
        <w:tc>
          <w:tcPr>
            <w:tcW w:w="3720" w:type="dxa"/>
            <w:tcBorders/>
            <w:shd w:fill="FFFFFF" w:val="clear"/>
            <w:vAlign w:val="center"/>
          </w:tcPr>
          <w:p>
            <w:pPr>
              <w:pStyle w:val="TableContents"/>
              <w:bidi w:val="0"/>
              <w:spacing w:before="0" w:after="283"/>
              <w:jc w:val="left"/>
              <w:rPr>
                <w:b/>
              </w:rPr>
            </w:pPr>
            <w:r>
              <w:rPr>
                <w:b/>
              </w:rPr>
              <w:t>Net income/(loss) from attributable to the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141,644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b/>
              </w:rPr>
            </w:pPr>
            <w:r>
              <w:rPr>
                <w:b/>
              </w:rPr>
              <w:t>127,470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b/>
              </w:rPr>
            </w:pPr>
            <w:r>
              <w:rPr>
                <w:b/>
              </w:rPr>
              <w:t>(411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b/>
              </w:rPr>
            </w:pPr>
            <w:r>
              <w:rPr>
                <w:b/>
              </w:rPr>
              <w:t>(127,059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141,644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3735"/>
        <w:gridCol w:w="60"/>
        <w:gridCol w:w="68"/>
        <w:gridCol w:w="777"/>
        <w:gridCol w:w="95"/>
        <w:gridCol w:w="60"/>
        <w:gridCol w:w="60"/>
        <w:gridCol w:w="1070"/>
        <w:gridCol w:w="95"/>
        <w:gridCol w:w="60"/>
        <w:gridCol w:w="67"/>
        <w:gridCol w:w="988"/>
        <w:gridCol w:w="95"/>
        <w:gridCol w:w="60"/>
        <w:gridCol w:w="83"/>
        <w:gridCol w:w="1212"/>
        <w:gridCol w:w="95"/>
        <w:gridCol w:w="60"/>
        <w:gridCol w:w="72"/>
        <w:gridCol w:w="1283"/>
        <w:gridCol w:w="110"/>
      </w:tblGrid>
      <w:tr>
        <w:trPr/>
        <w:tc>
          <w:tcPr>
            <w:tcW w:w="37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30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 2024</w:t>
            </w:r>
          </w:p>
        </w:tc>
        <w:tc>
          <w:tcPr>
            <w:tcW w:w="110" w:type="dxa"/>
            <w:tcBorders/>
            <w:vAlign w:val="center"/>
          </w:tcPr>
          <w:p>
            <w:pPr>
              <w:pStyle w:val="TableContents"/>
              <w:bidi w:val="0"/>
              <w:spacing w:before="0" w:after="283"/>
              <w:jc w:val="left"/>
              <w:rPr/>
            </w:pPr>
            <w:r>
              <w:rPr/>
              <w:t> </w:t>
            </w:r>
          </w:p>
        </w:tc>
      </w:tr>
      <w:tr>
        <w:trPr/>
        <w:tc>
          <w:tcPr>
            <w:tcW w:w="37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Primary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110" w:type="dxa"/>
            <w:tcBorders/>
            <w:vAlign w:val="center"/>
          </w:tcPr>
          <w:p>
            <w:pPr>
              <w:pStyle w:val="TableContents"/>
              <w:bidi w:val="0"/>
              <w:spacing w:before="0" w:after="283"/>
              <w:jc w:val="left"/>
              <w:rPr/>
            </w:pPr>
            <w:r>
              <w:rPr/>
              <w:t> </w:t>
            </w:r>
          </w:p>
        </w:tc>
      </w:tr>
      <w:tr>
        <w:trPr/>
        <w:tc>
          <w:tcPr>
            <w:tcW w:w="3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00" w:type="dxa"/>
            <w:gridSpan w:val="18"/>
            <w:tcBorders/>
            <w:vAlign w:val="center"/>
          </w:tcPr>
          <w:p>
            <w:pPr>
              <w:pStyle w:val="TableContents"/>
              <w:bidi w:val="0"/>
              <w:spacing w:before="0" w:after="283"/>
              <w:jc w:val="center"/>
              <w:rPr>
                <w:b/>
              </w:rPr>
            </w:pPr>
            <w:r>
              <w:rPr>
                <w:b/>
              </w:rPr>
              <w:t>(RMB in thousands)</w:t>
            </w:r>
          </w:p>
        </w:tc>
        <w:tc>
          <w:tcPr>
            <w:tcW w:w="110" w:type="dxa"/>
            <w:tcBorders/>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Inter-company revenues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532,323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49,679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(582,002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pPr>
            <w:r>
              <w:rPr/>
              <w:t>Related-party and third-party revenues</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pPr>
            <w:r>
              <w:rPr/>
              <w:t>1,215,580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903,402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2,118,982</w:t>
            </w:r>
          </w:p>
        </w:tc>
        <w:tc>
          <w:tcPr>
            <w:tcW w:w="110" w:type="dxa"/>
            <w:tcBorders/>
            <w:shd w:fill="FFFFFF" w:val="clear"/>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1,747,903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953,081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(582,002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2,118,982</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b/>
              </w:rPr>
            </w:pPr>
            <w:r>
              <w:rPr>
                <w:b/>
              </w:rPr>
              <w:t>Cost of revenues</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(1,434,056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(845,527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709,307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(1,570,276</w:t>
            </w:r>
          </w:p>
        </w:tc>
        <w:tc>
          <w:tcPr>
            <w:tcW w:w="110" w:type="dxa"/>
            <w:tcBorders/>
            <w:shd w:fill="FFFFFF" w:val="clear"/>
            <w:vAlign w:val="center"/>
          </w:tcPr>
          <w:p>
            <w:pPr>
              <w:pStyle w:val="TableContents"/>
              <w:bidi w:val="0"/>
              <w:spacing w:before="0" w:after="283"/>
              <w:jc w:val="left"/>
              <w:rPr>
                <w:b/>
              </w:rPr>
            </w:pPr>
            <w:r>
              <w:rPr>
                <w:b/>
              </w:rPr>
              <w:t>)</w:t>
            </w:r>
          </w:p>
        </w:tc>
      </w:tr>
      <w:tr>
        <w:trPr/>
        <w:tc>
          <w:tcPr>
            <w:tcW w:w="3735"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(99,470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(44,692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(142,884</w:t>
            </w:r>
          </w:p>
        </w:tc>
        <w:tc>
          <w:tcPr>
            <w:tcW w:w="110" w:type="dxa"/>
            <w:tcBorders/>
            <w:shd w:fill="CCEEFF" w:val="clear"/>
            <w:vAlign w:val="center"/>
          </w:tcPr>
          <w:p>
            <w:pPr>
              <w:pStyle w:val="TableContents"/>
              <w:bidi w:val="0"/>
              <w:spacing w:before="0" w:after="283"/>
              <w:jc w:val="left"/>
              <w:rPr/>
            </w:pPr>
            <w:r>
              <w:rPr/>
              <w:t>)</w:t>
            </w:r>
          </w:p>
        </w:tc>
      </w:tr>
      <w:tr>
        <w:trPr/>
        <w:tc>
          <w:tcPr>
            <w:tcW w:w="3735"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(155,674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(77,433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21,934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(211,173</w:t>
            </w:r>
          </w:p>
        </w:tc>
        <w:tc>
          <w:tcPr>
            <w:tcW w:w="110" w:type="dxa"/>
            <w:tcBorders/>
            <w:shd w:fill="FFFFFF" w:val="clear"/>
            <w:vAlign w:val="center"/>
          </w:tcPr>
          <w:p>
            <w:pPr>
              <w:pStyle w:val="TableContents"/>
              <w:bidi w:val="0"/>
              <w:spacing w:before="0" w:after="283"/>
              <w:jc w:val="left"/>
              <w:rPr/>
            </w:pPr>
            <w:r>
              <w:rPr/>
              <w:t>)</w:t>
            </w:r>
          </w:p>
        </w:tc>
      </w:tr>
      <w:tr>
        <w:trPr/>
        <w:tc>
          <w:tcPr>
            <w:tcW w:w="373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right"/>
              <w:rPr/>
            </w:pPr>
            <w:r>
              <w:rPr/>
              <w:t>(5,768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pPr>
            <w:r>
              <w:rPr/>
              <w:t>(56,513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(11,807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3,281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pPr>
            <w:r>
              <w:rPr/>
              <w:t>(70,807</w:t>
            </w:r>
          </w:p>
        </w:tc>
        <w:tc>
          <w:tcPr>
            <w:tcW w:w="110" w:type="dxa"/>
            <w:tcBorders/>
            <w:shd w:fill="CCEEFF" w:val="clear"/>
            <w:vAlign w:val="center"/>
          </w:tcPr>
          <w:p>
            <w:pPr>
              <w:pStyle w:val="TableContents"/>
              <w:bidi w:val="0"/>
              <w:spacing w:before="0" w:after="283"/>
              <w:jc w:val="left"/>
              <w:rPr/>
            </w:pPr>
            <w:r>
              <w:rPr/>
              <w:t>)</w:t>
            </w:r>
          </w:p>
        </w:tc>
      </w:tr>
      <w:tr>
        <w:trPr/>
        <w:tc>
          <w:tcPr>
            <w:tcW w:w="3735"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b/>
              </w:rPr>
            </w:pPr>
            <w:r>
              <w:rPr>
                <w:b/>
              </w:rPr>
              <w:t>(5,768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b/>
              </w:rPr>
            </w:pPr>
            <w:r>
              <w:rPr>
                <w:b/>
              </w:rPr>
              <w:t>(311,657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b/>
              </w:rPr>
            </w:pPr>
            <w:r>
              <w:rPr>
                <w:b/>
              </w:rPr>
              <w:t>(133,932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b/>
              </w:rPr>
            </w:pPr>
            <w:r>
              <w:rPr>
                <w:b/>
              </w:rPr>
              <w:t>26,493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(424,864</w:t>
            </w:r>
          </w:p>
        </w:tc>
        <w:tc>
          <w:tcPr>
            <w:tcW w:w="110" w:type="dxa"/>
            <w:tcBorders/>
            <w:shd w:fill="FFFFFF" w:val="clear"/>
            <w:vAlign w:val="center"/>
          </w:tcPr>
          <w:p>
            <w:pPr>
              <w:pStyle w:val="TableContents"/>
              <w:bidi w:val="0"/>
              <w:spacing w:before="0" w:after="283"/>
              <w:jc w:val="left"/>
              <w:rPr>
                <w:b/>
              </w:rPr>
            </w:pPr>
            <w:r>
              <w:rPr>
                <w:b/>
              </w:rPr>
              <w:t>)</w:t>
            </w:r>
          </w:p>
        </w:tc>
      </w:tr>
      <w:tr>
        <w:trPr/>
        <w:tc>
          <w:tcPr>
            <w:tcW w:w="3735"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21,609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10,883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32,492</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in gain of subsidiaries/VIEs</w:t>
            </w:r>
            <w:r>
              <w:rPr>
                <w:rFonts w:ascii="Times New Roman;Times;Serif" w:hAnsi="Times New Roman;Times;Serif"/>
                <w:position w:val="7"/>
                <w:sz w:val="16"/>
                <w:sz w:val="20"/>
              </w:rPr>
              <w:t>(2)(4)</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pPr>
            <w:r>
              <w:rPr/>
              <w:t>78,525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pPr>
            <w:r>
              <w:rPr/>
              <w:t>81,687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(160,212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283"/>
              <w:jc w:val="left"/>
              <w:rPr>
                <w:b/>
              </w:rPr>
            </w:pPr>
            <w:r>
              <w:rPr>
                <w:b/>
              </w:rPr>
              <w:t>Income/(Loss) from operations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b/>
              </w:rPr>
            </w:pPr>
            <w:r>
              <w:rPr>
                <w:b/>
              </w:rPr>
              <w:t>72,757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b/>
              </w:rPr>
            </w:pPr>
            <w:r>
              <w:rPr>
                <w:b/>
              </w:rPr>
              <w:t>105,486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b/>
              </w:rPr>
            </w:pPr>
            <w:r>
              <w:rPr>
                <w:b/>
              </w:rPr>
              <w:t>(15,495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b/>
              </w:rPr>
            </w:pPr>
            <w:r>
              <w:rPr>
                <w:b/>
              </w:rPr>
              <w:t>(6,414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156,334</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(expenses)/income and investment income-net</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pPr>
            <w:r>
              <w:rPr/>
              <w:t>(7,932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pPr>
            <w:r>
              <w:rPr/>
              <w:t>(20,471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23,667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5,264</w:t>
            </w:r>
          </w:p>
        </w:tc>
        <w:tc>
          <w:tcPr>
            <w:tcW w:w="110" w:type="dxa"/>
            <w:tcBorders/>
            <w:shd w:fill="FFFFFF" w:val="clear"/>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283"/>
              <w:jc w:val="left"/>
              <w:rPr>
                <w:b/>
              </w:rPr>
            </w:pPr>
            <w:r>
              <w:rPr>
                <w:b/>
              </w:rPr>
              <w:t>Income before income tax expenses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b/>
              </w:rPr>
            </w:pPr>
            <w:r>
              <w:rPr>
                <w:b/>
              </w:rPr>
              <w:t>64,825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b/>
              </w:rPr>
            </w:pPr>
            <w:r>
              <w:rPr>
                <w:b/>
              </w:rPr>
              <w:t>85,015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b/>
              </w:rPr>
            </w:pPr>
            <w:r>
              <w:rPr>
                <w:b/>
              </w:rPr>
              <w:t>8,172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b/>
              </w:rPr>
            </w:pPr>
            <w:r>
              <w:rPr>
                <w:b/>
              </w:rPr>
              <w:t>3,586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161,598</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pPr>
            <w:r>
              <w:rPr/>
              <w:t>Income tax credits</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pPr>
            <w:r>
              <w:rPr/>
              <w:t>(16,901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(16,913</w:t>
            </w:r>
          </w:p>
        </w:tc>
        <w:tc>
          <w:tcPr>
            <w:tcW w:w="110" w:type="dxa"/>
            <w:tcBorders/>
            <w:shd w:fill="FFFFFF" w:val="clear"/>
            <w:vAlign w:val="center"/>
          </w:tcPr>
          <w:p>
            <w:pPr>
              <w:pStyle w:val="TableContents"/>
              <w:bidi w:val="0"/>
              <w:spacing w:before="0" w:after="283"/>
              <w:jc w:val="left"/>
              <w:rPr/>
            </w:pPr>
            <w:r>
              <w:rPr/>
              <w:t>)</w:t>
            </w:r>
          </w:p>
        </w:tc>
      </w:tr>
      <w:tr>
        <w:trPr/>
        <w:tc>
          <w:tcPr>
            <w:tcW w:w="3735" w:type="dxa"/>
            <w:tcBorders/>
            <w:shd w:fill="CCEEFF" w:val="clear"/>
            <w:vAlign w:val="center"/>
          </w:tcPr>
          <w:p>
            <w:pPr>
              <w:pStyle w:val="TableContents"/>
              <w:bidi w:val="0"/>
              <w:spacing w:before="0" w:after="283"/>
              <w:jc w:val="left"/>
              <w:rPr>
                <w:b/>
              </w:rPr>
            </w:pPr>
            <w:r>
              <w:rPr>
                <w:b/>
              </w:rPr>
              <w:t>Net income/(loss) from continuing operations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b/>
              </w:rPr>
            </w:pPr>
            <w:r>
              <w:rPr>
                <w:b/>
              </w:rPr>
              <w:t>64,825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b/>
              </w:rPr>
            </w:pPr>
            <w:r>
              <w:rPr>
                <w:b/>
              </w:rPr>
              <w:t>68,114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b/>
              </w:rPr>
            </w:pPr>
            <w:r>
              <w:rPr>
                <w:b/>
              </w:rPr>
              <w:t>8,160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b/>
              </w:rPr>
            </w:pPr>
            <w:r>
              <w:rPr>
                <w:b/>
              </w:rPr>
              <w:t>3,586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144,685</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pPr>
            <w:r>
              <w:rPr/>
              <w:t>Less: Net loss from continuing operations attributable to the non-controlling interest shareholders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321</w:t>
            </w:r>
          </w:p>
        </w:tc>
        <w:tc>
          <w:tcPr>
            <w:tcW w:w="110" w:type="dxa"/>
            <w:tcBorders/>
            <w:shd w:fill="FFFFFF" w:val="clear"/>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283"/>
              <w:jc w:val="left"/>
              <w:rPr>
                <w:b/>
              </w:rPr>
            </w:pPr>
            <w:r>
              <w:rPr>
                <w:b/>
              </w:rPr>
              <w:t>Net income from continuing operations attributable to the Company</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b/>
              </w:rPr>
            </w:pPr>
            <w:r>
              <w:rPr>
                <w:b/>
              </w:rPr>
              <w:t>64,825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b/>
              </w:rPr>
            </w:pPr>
            <w:r>
              <w:rPr>
                <w:b/>
              </w:rPr>
              <w:t>67,771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b/>
              </w:rPr>
            </w:pPr>
            <w:r>
              <w:rPr>
                <w:b/>
              </w:rPr>
              <w:t>8,182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b/>
              </w:rPr>
            </w:pPr>
            <w:r>
              <w:rPr>
                <w:b/>
              </w:rPr>
              <w:t>3,586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144,364</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 from discontinued operations attributable to the Company</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(1,411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9,330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(79,539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(9,330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(80,950</w:t>
            </w:r>
          </w:p>
        </w:tc>
        <w:tc>
          <w:tcPr>
            <w:tcW w:w="110" w:type="dxa"/>
            <w:tcBorders/>
            <w:shd w:fill="FFFFFF" w:val="clear"/>
            <w:vAlign w:val="center"/>
          </w:tcPr>
          <w:p>
            <w:pPr>
              <w:pStyle w:val="TableContents"/>
              <w:bidi w:val="0"/>
              <w:spacing w:before="0" w:after="283"/>
              <w:jc w:val="left"/>
              <w:rPr/>
            </w:pPr>
            <w:r>
              <w:rPr/>
              <w:t>)</w:t>
            </w:r>
          </w:p>
        </w:tc>
      </w:tr>
      <w:tr>
        <w:trPr/>
        <w:tc>
          <w:tcPr>
            <w:tcW w:w="3735" w:type="dxa"/>
            <w:tcBorders/>
            <w:shd w:fill="CCEEFF" w:val="clear"/>
            <w:vAlign w:val="center"/>
          </w:tcPr>
          <w:p>
            <w:pPr>
              <w:pStyle w:val="TableContents"/>
              <w:bidi w:val="0"/>
              <w:spacing w:before="0" w:after="283"/>
              <w:jc w:val="left"/>
              <w:rPr>
                <w:b/>
              </w:rPr>
            </w:pPr>
            <w:r>
              <w:rPr>
                <w:b/>
              </w:rPr>
              <w:t>Net income/(loss) from attributable to the Company</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b/>
              </w:rPr>
            </w:pPr>
            <w:r>
              <w:rPr>
                <w:b/>
              </w:rPr>
              <w:t>63,414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b/>
              </w:rPr>
            </w:pPr>
            <w:r>
              <w:rPr>
                <w:b/>
              </w:rPr>
              <w:t>77,101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b/>
              </w:rPr>
            </w:pPr>
            <w:r>
              <w:rPr>
                <w:b/>
              </w:rPr>
              <w:t>(71,357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b/>
              </w:rPr>
            </w:pPr>
            <w:r>
              <w:rPr>
                <w:b/>
              </w:rPr>
              <w:t>(5,744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63,414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3675"/>
        <w:gridCol w:w="60"/>
        <w:gridCol w:w="62"/>
        <w:gridCol w:w="783"/>
        <w:gridCol w:w="95"/>
        <w:gridCol w:w="60"/>
        <w:gridCol w:w="72"/>
        <w:gridCol w:w="1058"/>
        <w:gridCol w:w="95"/>
        <w:gridCol w:w="60"/>
        <w:gridCol w:w="60"/>
        <w:gridCol w:w="1055"/>
        <w:gridCol w:w="95"/>
        <w:gridCol w:w="60"/>
        <w:gridCol w:w="83"/>
        <w:gridCol w:w="1212"/>
        <w:gridCol w:w="95"/>
        <w:gridCol w:w="60"/>
        <w:gridCol w:w="72"/>
        <w:gridCol w:w="1283"/>
        <w:gridCol w:w="110"/>
      </w:tblGrid>
      <w:tr>
        <w:trPr/>
        <w:tc>
          <w:tcPr>
            <w:tcW w:w="3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6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 2023</w:t>
            </w:r>
          </w:p>
        </w:tc>
        <w:tc>
          <w:tcPr>
            <w:tcW w:w="110" w:type="dxa"/>
            <w:tcBorders/>
            <w:vAlign w:val="center"/>
          </w:tcPr>
          <w:p>
            <w:pPr>
              <w:pStyle w:val="TableContents"/>
              <w:bidi w:val="0"/>
              <w:spacing w:before="0" w:after="283"/>
              <w:jc w:val="left"/>
              <w:rPr/>
            </w:pPr>
            <w:r>
              <w:rPr/>
              <w:t> </w:t>
            </w:r>
          </w:p>
        </w:tc>
      </w:tr>
      <w:tr>
        <w:trPr/>
        <w:tc>
          <w:tcPr>
            <w:tcW w:w="36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Primary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110" w:type="dxa"/>
            <w:tcBorders/>
            <w:vAlign w:val="center"/>
          </w:tcPr>
          <w:p>
            <w:pPr>
              <w:pStyle w:val="TableContents"/>
              <w:bidi w:val="0"/>
              <w:spacing w:before="0" w:after="283"/>
              <w:jc w:val="left"/>
              <w:rPr/>
            </w:pPr>
            <w:r>
              <w:rPr/>
              <w:t> </w:t>
            </w:r>
          </w:p>
        </w:tc>
      </w:tr>
      <w:tr>
        <w:trPr/>
        <w:tc>
          <w:tcPr>
            <w:tcW w:w="3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60" w:type="dxa"/>
            <w:gridSpan w:val="18"/>
            <w:tcBorders/>
            <w:vAlign w:val="center"/>
          </w:tcPr>
          <w:p>
            <w:pPr>
              <w:pStyle w:val="TableContents"/>
              <w:bidi w:val="0"/>
              <w:spacing w:before="0" w:after="283"/>
              <w:jc w:val="center"/>
              <w:rPr>
                <w:b/>
              </w:rPr>
            </w:pPr>
            <w:r>
              <w:rPr>
                <w:b/>
              </w:rPr>
              <w:t>(RMB in thousands)</w:t>
            </w:r>
          </w:p>
        </w:tc>
        <w:tc>
          <w:tcPr>
            <w:tcW w:w="110" w:type="dxa"/>
            <w:tcBorders/>
            <w:vAlign w:val="center"/>
          </w:tcPr>
          <w:p>
            <w:pPr>
              <w:pStyle w:val="TableContents"/>
              <w:bidi w:val="0"/>
              <w:spacing w:before="0" w:after="283"/>
              <w:jc w:val="left"/>
              <w:rPr/>
            </w:pPr>
            <w:r>
              <w:rPr/>
              <w:t> </w:t>
            </w:r>
          </w:p>
        </w:tc>
      </w:tr>
      <w:tr>
        <w:trPr/>
        <w:tc>
          <w:tcPr>
            <w:tcW w:w="3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Inter-company revenues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789,785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(813,129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675" w:type="dxa"/>
            <w:tcBorders/>
            <w:shd w:fill="FFFFFF" w:val="clear"/>
            <w:vAlign w:val="center"/>
          </w:tcPr>
          <w:p>
            <w:pPr>
              <w:pStyle w:val="TableContents"/>
              <w:bidi w:val="0"/>
              <w:spacing w:before="0" w:after="283"/>
              <w:jc w:val="left"/>
              <w:rPr/>
            </w:pPr>
            <w:r>
              <w:rPr/>
              <w:t>Related-party and third-party revenues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205,664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1,433,072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1,638,736</w:t>
            </w:r>
          </w:p>
        </w:tc>
        <w:tc>
          <w:tcPr>
            <w:tcW w:w="110" w:type="dxa"/>
            <w:tcBorders/>
            <w:shd w:fill="FFFFFF" w:val="clear"/>
            <w:vAlign w:val="center"/>
          </w:tcPr>
          <w:p>
            <w:pPr>
              <w:pStyle w:val="TableContents"/>
              <w:bidi w:val="0"/>
              <w:spacing w:before="0" w:after="283"/>
              <w:jc w:val="left"/>
              <w:rPr/>
            </w:pPr>
            <w:r>
              <w:rPr/>
              <w:t> </w:t>
            </w:r>
          </w:p>
        </w:tc>
      </w:tr>
      <w:tr>
        <w:trPr/>
        <w:tc>
          <w:tcPr>
            <w:tcW w:w="3675"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995,449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1,456,416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(813,129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1,638,736</w:t>
            </w:r>
          </w:p>
        </w:tc>
        <w:tc>
          <w:tcPr>
            <w:tcW w:w="110" w:type="dxa"/>
            <w:tcBorders/>
            <w:shd w:fill="CCEEFF" w:val="clear"/>
            <w:vAlign w:val="center"/>
          </w:tcPr>
          <w:p>
            <w:pPr>
              <w:pStyle w:val="TableContents"/>
              <w:bidi w:val="0"/>
              <w:spacing w:before="0" w:after="283"/>
              <w:jc w:val="left"/>
              <w:rPr/>
            </w:pPr>
            <w:r>
              <w:rPr/>
              <w:t> </w:t>
            </w:r>
          </w:p>
        </w:tc>
      </w:tr>
      <w:tr>
        <w:trPr/>
        <w:tc>
          <w:tcPr>
            <w:tcW w:w="3675" w:type="dxa"/>
            <w:tcBorders/>
            <w:shd w:fill="FFFFFF" w:val="clear"/>
            <w:vAlign w:val="center"/>
          </w:tcPr>
          <w:p>
            <w:pPr>
              <w:pStyle w:val="TableContents"/>
              <w:bidi w:val="0"/>
              <w:spacing w:before="0" w:after="283"/>
              <w:jc w:val="left"/>
              <w:rPr>
                <w:b/>
              </w:rPr>
            </w:pPr>
            <w:r>
              <w:rPr>
                <w:b/>
              </w:rPr>
              <w:t>Cost of revenues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(785,736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(1,140,254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809,270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(1,116,720</w:t>
            </w:r>
          </w:p>
        </w:tc>
        <w:tc>
          <w:tcPr>
            <w:tcW w:w="110" w:type="dxa"/>
            <w:tcBorders/>
            <w:shd w:fill="FFFFFF" w:val="clear"/>
            <w:vAlign w:val="center"/>
          </w:tcPr>
          <w:p>
            <w:pPr>
              <w:pStyle w:val="TableContents"/>
              <w:bidi w:val="0"/>
              <w:spacing w:before="0" w:after="283"/>
              <w:jc w:val="left"/>
              <w:rPr>
                <w:b/>
              </w:rPr>
            </w:pPr>
            <w:r>
              <w:rPr>
                <w:b/>
              </w:rPr>
              <w:t>)</w:t>
            </w:r>
          </w:p>
        </w:tc>
      </w:tr>
      <w:tr>
        <w:trPr/>
        <w:tc>
          <w:tcPr>
            <w:tcW w:w="3675"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(59,858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(89,021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(148,879</w:t>
            </w:r>
          </w:p>
        </w:tc>
        <w:tc>
          <w:tcPr>
            <w:tcW w:w="110" w:type="dxa"/>
            <w:tcBorders/>
            <w:shd w:fill="CCEEFF" w:val="clear"/>
            <w:vAlign w:val="center"/>
          </w:tcPr>
          <w:p>
            <w:pPr>
              <w:pStyle w:val="TableContents"/>
              <w:bidi w:val="0"/>
              <w:spacing w:before="0" w:after="283"/>
              <w:jc w:val="left"/>
              <w:rPr/>
            </w:pPr>
            <w:r>
              <w:rPr/>
              <w:t>)</w:t>
            </w:r>
          </w:p>
        </w:tc>
      </w:tr>
      <w:tr>
        <w:trPr/>
        <w:tc>
          <w:tcPr>
            <w:tcW w:w="36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Selling and marketing expenses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(111,961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(182,496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79,847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(214,610</w:t>
            </w:r>
          </w:p>
        </w:tc>
        <w:tc>
          <w:tcPr>
            <w:tcW w:w="110" w:type="dxa"/>
            <w:tcBorders/>
            <w:shd w:fill="FFFFFF" w:val="clear"/>
            <w:vAlign w:val="center"/>
          </w:tcPr>
          <w:p>
            <w:pPr>
              <w:pStyle w:val="TableContents"/>
              <w:bidi w:val="0"/>
              <w:spacing w:before="0" w:after="283"/>
              <w:jc w:val="left"/>
              <w:rPr/>
            </w:pPr>
            <w:r>
              <w:rPr/>
              <w:t>)</w:t>
            </w:r>
          </w:p>
        </w:tc>
      </w:tr>
      <w:tr>
        <w:trPr/>
        <w:tc>
          <w:tcPr>
            <w:tcW w:w="3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 expenses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(5,072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(20,628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(33,746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2,100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pPr>
            <w:r>
              <w:rPr/>
              <w:t>(57,346</w:t>
            </w:r>
          </w:p>
        </w:tc>
        <w:tc>
          <w:tcPr>
            <w:tcW w:w="110" w:type="dxa"/>
            <w:tcBorders/>
            <w:shd w:fill="CCEEFF" w:val="clear"/>
            <w:vAlign w:val="center"/>
          </w:tcPr>
          <w:p>
            <w:pPr>
              <w:pStyle w:val="TableContents"/>
              <w:bidi w:val="0"/>
              <w:spacing w:before="0" w:after="283"/>
              <w:jc w:val="left"/>
              <w:rPr/>
            </w:pPr>
            <w:r>
              <w:rPr/>
              <w:t>)</w:t>
            </w:r>
          </w:p>
        </w:tc>
      </w:tr>
      <w:tr>
        <w:trPr/>
        <w:tc>
          <w:tcPr>
            <w:tcW w:w="3675"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b/>
              </w:rPr>
            </w:pPr>
            <w:r>
              <w:rPr>
                <w:b/>
              </w:rPr>
              <w:t>(5,072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b/>
              </w:rPr>
            </w:pPr>
            <w:r>
              <w:rPr>
                <w:b/>
              </w:rPr>
              <w:t>(192,447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(305,263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b/>
              </w:rPr>
            </w:pPr>
            <w:r>
              <w:rPr>
                <w:b/>
              </w:rPr>
              <w:t>81,947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(420,835</w:t>
            </w:r>
          </w:p>
        </w:tc>
        <w:tc>
          <w:tcPr>
            <w:tcW w:w="110" w:type="dxa"/>
            <w:tcBorders/>
            <w:shd w:fill="FFFFFF" w:val="clear"/>
            <w:vAlign w:val="center"/>
          </w:tcPr>
          <w:p>
            <w:pPr>
              <w:pStyle w:val="TableContents"/>
              <w:bidi w:val="0"/>
              <w:spacing w:before="0" w:after="283"/>
              <w:jc w:val="left"/>
              <w:rPr>
                <w:b/>
              </w:rPr>
            </w:pPr>
            <w:r>
              <w:rPr>
                <w:b/>
              </w:rPr>
              <w:t>)</w:t>
            </w:r>
          </w:p>
        </w:tc>
      </w:tr>
      <w:tr>
        <w:trPr/>
        <w:tc>
          <w:tcPr>
            <w:tcW w:w="3675"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7,370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8,887</w:t>
            </w:r>
          </w:p>
        </w:tc>
        <w:tc>
          <w:tcPr>
            <w:tcW w:w="110" w:type="dxa"/>
            <w:tcBorders/>
            <w:shd w:fill="CCEEFF" w:val="clear"/>
            <w:vAlign w:val="center"/>
          </w:tcPr>
          <w:p>
            <w:pPr>
              <w:pStyle w:val="TableContents"/>
              <w:bidi w:val="0"/>
              <w:spacing w:before="0" w:after="283"/>
              <w:jc w:val="left"/>
              <w:rPr/>
            </w:pPr>
            <w:r>
              <w:rPr/>
              <w:t> </w:t>
            </w:r>
          </w:p>
        </w:tc>
      </w:tr>
      <w:tr>
        <w:trPr/>
        <w:tc>
          <w:tcPr>
            <w:tcW w:w="36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in loss of subsidiaries/VIEs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pPr>
            <w:r>
              <w:rPr/>
              <w:t>(74,290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(178,945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253,235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75" w:type="dxa"/>
            <w:tcBorders/>
            <w:shd w:fill="CCEEFF" w:val="clear"/>
            <w:vAlign w:val="center"/>
          </w:tcPr>
          <w:p>
            <w:pPr>
              <w:pStyle w:val="TableContents"/>
              <w:bidi w:val="0"/>
              <w:spacing w:before="0" w:after="283"/>
              <w:jc w:val="left"/>
              <w:rPr>
                <w:b/>
              </w:rPr>
            </w:pPr>
            <w:r>
              <w:rPr>
                <w:b/>
              </w:rPr>
              <w:t>Income/(Loss) from operations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b/>
              </w:rPr>
            </w:pPr>
            <w:r>
              <w:rPr>
                <w:b/>
              </w:rPr>
              <w:t>(79,362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b/>
              </w:rPr>
            </w:pPr>
            <w:r>
              <w:rPr>
                <w:b/>
              </w:rPr>
              <w:t>(154,309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12,416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b/>
              </w:rPr>
            </w:pPr>
            <w:r>
              <w:rPr>
                <w:b/>
              </w:rPr>
              <w:t>331,323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110,068</w:t>
            </w:r>
          </w:p>
        </w:tc>
        <w:tc>
          <w:tcPr>
            <w:tcW w:w="110" w:type="dxa"/>
            <w:tcBorders/>
            <w:shd w:fill="CCEEFF" w:val="clear"/>
            <w:vAlign w:val="center"/>
          </w:tcPr>
          <w:p>
            <w:pPr>
              <w:pStyle w:val="TableContents"/>
              <w:bidi w:val="0"/>
              <w:spacing w:before="0" w:after="283"/>
              <w:jc w:val="left"/>
              <w:rPr/>
            </w:pPr>
            <w:r>
              <w:rPr/>
              <w:t> </w:t>
            </w:r>
          </w:p>
        </w:tc>
      </w:tr>
      <w:tr>
        <w:trPr/>
        <w:tc>
          <w:tcPr>
            <w:tcW w:w="36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(expenses)/income and investment income-net</w:t>
            </w:r>
            <w:r>
              <w:rPr>
                <w:rFonts w:ascii="Times New Roman;Times;Serif" w:hAnsi="Times New Roman;Times;Serif"/>
                <w:position w:val="7"/>
                <w:sz w:val="16"/>
                <w:sz w:val="20"/>
              </w:rPr>
              <w:t>(3)(4)</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(7,006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2,342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21,495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16,831</w:t>
            </w:r>
          </w:p>
        </w:tc>
        <w:tc>
          <w:tcPr>
            <w:tcW w:w="110" w:type="dxa"/>
            <w:tcBorders/>
            <w:shd w:fill="FFFFFF" w:val="clear"/>
            <w:vAlign w:val="center"/>
          </w:tcPr>
          <w:p>
            <w:pPr>
              <w:pStyle w:val="TableContents"/>
              <w:bidi w:val="0"/>
              <w:spacing w:before="0" w:after="283"/>
              <w:jc w:val="left"/>
              <w:rPr/>
            </w:pPr>
            <w:r>
              <w:rPr/>
              <w:t> </w:t>
            </w:r>
          </w:p>
        </w:tc>
      </w:tr>
      <w:tr>
        <w:trPr/>
        <w:tc>
          <w:tcPr>
            <w:tcW w:w="3675" w:type="dxa"/>
            <w:tcBorders/>
            <w:shd w:fill="CCEEFF" w:val="clear"/>
            <w:vAlign w:val="center"/>
          </w:tcPr>
          <w:p>
            <w:pPr>
              <w:pStyle w:val="TableContents"/>
              <w:bidi w:val="0"/>
              <w:spacing w:before="0" w:after="283"/>
              <w:jc w:val="left"/>
              <w:rPr/>
            </w:pPr>
            <w:r>
              <w:rPr/>
              <w:t>Other non-operating income</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3,164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pPr>
            <w:r>
              <w:rPr/>
              <w:t>3,164</w:t>
            </w:r>
          </w:p>
        </w:tc>
        <w:tc>
          <w:tcPr>
            <w:tcW w:w="110" w:type="dxa"/>
            <w:tcBorders/>
            <w:shd w:fill="CCEEFF" w:val="clear"/>
            <w:vAlign w:val="center"/>
          </w:tcPr>
          <w:p>
            <w:pPr>
              <w:pStyle w:val="TableContents"/>
              <w:bidi w:val="0"/>
              <w:spacing w:before="0" w:after="283"/>
              <w:jc w:val="left"/>
              <w:rPr/>
            </w:pPr>
            <w:r>
              <w:rPr/>
              <w:t> </w:t>
            </w:r>
          </w:p>
        </w:tc>
      </w:tr>
      <w:tr>
        <w:trPr/>
        <w:tc>
          <w:tcPr>
            <w:tcW w:w="3675" w:type="dxa"/>
            <w:tcBorders/>
            <w:shd w:fill="FFFFFF" w:val="clear"/>
            <w:vAlign w:val="center"/>
          </w:tcPr>
          <w:p>
            <w:pPr>
              <w:pStyle w:val="TableContents"/>
              <w:bidi w:val="0"/>
              <w:spacing w:before="0" w:after="283"/>
              <w:jc w:val="left"/>
              <w:rPr>
                <w:b/>
              </w:rPr>
            </w:pPr>
            <w:r>
              <w:rPr>
                <w:b/>
              </w:rPr>
              <w:t>Income(Loss) before income tax expenses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b/>
              </w:rPr>
            </w:pPr>
            <w:r>
              <w:rPr>
                <w:b/>
              </w:rPr>
              <w:t>(83,204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b/>
              </w:rPr>
            </w:pPr>
            <w:r>
              <w:rPr>
                <w:b/>
              </w:rPr>
              <w:t>(151,967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33,911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b/>
              </w:rPr>
            </w:pPr>
            <w:r>
              <w:rPr>
                <w:b/>
              </w:rPr>
              <w:t>331,323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130,063</w:t>
            </w:r>
          </w:p>
        </w:tc>
        <w:tc>
          <w:tcPr>
            <w:tcW w:w="110" w:type="dxa"/>
            <w:tcBorders/>
            <w:shd w:fill="FFFFFF" w:val="clear"/>
            <w:vAlign w:val="center"/>
          </w:tcPr>
          <w:p>
            <w:pPr>
              <w:pStyle w:val="TableContents"/>
              <w:bidi w:val="0"/>
              <w:spacing w:before="0" w:after="283"/>
              <w:jc w:val="left"/>
              <w:rPr/>
            </w:pPr>
            <w:r>
              <w:rPr/>
              <w:t> </w:t>
            </w:r>
          </w:p>
        </w:tc>
      </w:tr>
      <w:tr>
        <w:trPr/>
        <w:tc>
          <w:tcPr>
            <w:tcW w:w="3675" w:type="dxa"/>
            <w:tcBorders/>
            <w:shd w:fill="CCEEFF" w:val="clear"/>
            <w:vAlign w:val="center"/>
          </w:tcPr>
          <w:p>
            <w:pPr>
              <w:pStyle w:val="TableContents"/>
              <w:bidi w:val="0"/>
              <w:spacing w:before="0" w:after="283"/>
              <w:jc w:val="left"/>
              <w:rPr/>
            </w:pPr>
            <w:r>
              <w:rPr/>
              <w:t>Income tax credits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(8,723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(4,865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(13,588</w:t>
            </w:r>
          </w:p>
        </w:tc>
        <w:tc>
          <w:tcPr>
            <w:tcW w:w="110" w:type="dxa"/>
            <w:tcBorders/>
            <w:shd w:fill="CCEEFF" w:val="clear"/>
            <w:vAlign w:val="center"/>
          </w:tcPr>
          <w:p>
            <w:pPr>
              <w:pStyle w:val="TableContents"/>
              <w:bidi w:val="0"/>
              <w:spacing w:before="0" w:after="283"/>
              <w:jc w:val="left"/>
              <w:rPr/>
            </w:pPr>
            <w:r>
              <w:rPr/>
              <w:t>)</w:t>
            </w:r>
          </w:p>
        </w:tc>
      </w:tr>
      <w:tr>
        <w:trPr/>
        <w:tc>
          <w:tcPr>
            <w:tcW w:w="3675" w:type="dxa"/>
            <w:tcBorders/>
            <w:shd w:fill="FFFFFF" w:val="clear"/>
            <w:vAlign w:val="center"/>
          </w:tcPr>
          <w:p>
            <w:pPr>
              <w:pStyle w:val="TableContents"/>
              <w:bidi w:val="0"/>
              <w:spacing w:before="0" w:after="283"/>
              <w:jc w:val="left"/>
              <w:rPr>
                <w:b/>
              </w:rPr>
            </w:pPr>
            <w:r>
              <w:rPr>
                <w:b/>
              </w:rPr>
              <w:t>Net income/(loss) from continuing operations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b/>
              </w:rPr>
            </w:pPr>
            <w:r>
              <w:rPr>
                <w:b/>
              </w:rPr>
              <w:t>(83,204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b/>
              </w:rPr>
            </w:pPr>
            <w:r>
              <w:rPr>
                <w:b/>
              </w:rPr>
              <w:t>(160,690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29,046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b/>
              </w:rPr>
            </w:pPr>
            <w:r>
              <w:rPr>
                <w:b/>
              </w:rPr>
              <w:t>331,323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116,475</w:t>
            </w:r>
          </w:p>
        </w:tc>
        <w:tc>
          <w:tcPr>
            <w:tcW w:w="110" w:type="dxa"/>
            <w:tcBorders/>
            <w:shd w:fill="FFFFFF" w:val="clear"/>
            <w:vAlign w:val="center"/>
          </w:tcPr>
          <w:p>
            <w:pPr>
              <w:pStyle w:val="TableContents"/>
              <w:bidi w:val="0"/>
              <w:spacing w:before="0" w:after="283"/>
              <w:jc w:val="left"/>
              <w:rPr/>
            </w:pPr>
            <w:r>
              <w:rPr/>
              <w:t> </w:t>
            </w:r>
          </w:p>
        </w:tc>
      </w:tr>
      <w:tr>
        <w:trPr/>
        <w:tc>
          <w:tcPr>
            <w:tcW w:w="3675" w:type="dxa"/>
            <w:tcBorders/>
            <w:shd w:fill="CCEEFF" w:val="clear"/>
            <w:vAlign w:val="center"/>
          </w:tcPr>
          <w:p>
            <w:pPr>
              <w:pStyle w:val="TableContents"/>
              <w:bidi w:val="0"/>
              <w:spacing w:before="0" w:after="283"/>
              <w:jc w:val="left"/>
              <w:rPr/>
            </w:pPr>
            <w:r>
              <w:rPr/>
              <w:t>Less: Net loss from continuing operations attributable to the non-controlling interest shareholders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pPr>
            <w:r>
              <w:rPr/>
              <w:t>(293</w:t>
            </w:r>
          </w:p>
        </w:tc>
        <w:tc>
          <w:tcPr>
            <w:tcW w:w="110" w:type="dxa"/>
            <w:tcBorders/>
            <w:shd w:fill="CCEEFF" w:val="clear"/>
            <w:vAlign w:val="center"/>
          </w:tcPr>
          <w:p>
            <w:pPr>
              <w:pStyle w:val="TableContents"/>
              <w:bidi w:val="0"/>
              <w:spacing w:before="0" w:after="283"/>
              <w:jc w:val="left"/>
              <w:rPr/>
            </w:pPr>
            <w:r>
              <w:rPr/>
              <w:t>)</w:t>
            </w:r>
          </w:p>
        </w:tc>
      </w:tr>
      <w:tr>
        <w:trPr/>
        <w:tc>
          <w:tcPr>
            <w:tcW w:w="3675" w:type="dxa"/>
            <w:tcBorders/>
            <w:shd w:fill="FFFFFF" w:val="clear"/>
            <w:vAlign w:val="center"/>
          </w:tcPr>
          <w:p>
            <w:pPr>
              <w:pStyle w:val="TableContents"/>
              <w:bidi w:val="0"/>
              <w:spacing w:before="0" w:after="283"/>
              <w:jc w:val="left"/>
              <w:rPr>
                <w:b/>
              </w:rPr>
            </w:pPr>
            <w:r>
              <w:rPr>
                <w:b/>
              </w:rPr>
              <w:t>Net income/(loss) from continuing operations attributable to the Company</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b/>
              </w:rPr>
            </w:pPr>
            <w:r>
              <w:rPr>
                <w:b/>
              </w:rPr>
              <w:t>(83,204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b/>
              </w:rPr>
            </w:pPr>
            <w:r>
              <w:rPr>
                <w:b/>
              </w:rPr>
              <w:t>(160,690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29,339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b/>
              </w:rPr>
            </w:pPr>
            <w:r>
              <w:rPr>
                <w:b/>
              </w:rPr>
              <w:t>331,323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116,768</w:t>
            </w:r>
          </w:p>
        </w:tc>
        <w:tc>
          <w:tcPr>
            <w:tcW w:w="110" w:type="dxa"/>
            <w:tcBorders/>
            <w:shd w:fill="FFFFFF" w:val="clear"/>
            <w:vAlign w:val="center"/>
          </w:tcPr>
          <w:p>
            <w:pPr>
              <w:pStyle w:val="TableContents"/>
              <w:bidi w:val="0"/>
              <w:spacing w:before="0" w:after="283"/>
              <w:jc w:val="left"/>
              <w:rPr/>
            </w:pPr>
            <w:r>
              <w:rPr/>
              <w:t> </w:t>
            </w:r>
          </w:p>
        </w:tc>
      </w:tr>
      <w:tr>
        <w:trPr/>
        <w:tc>
          <w:tcPr>
            <w:tcW w:w="3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income/(loss) from discontinued operations attributable to the Company</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(1,470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40,713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(240,685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(201,442</w:t>
            </w:r>
          </w:p>
        </w:tc>
        <w:tc>
          <w:tcPr>
            <w:tcW w:w="110" w:type="dxa"/>
            <w:tcBorders/>
            <w:shd w:fill="CCEEFF" w:val="clear"/>
            <w:vAlign w:val="center"/>
          </w:tcPr>
          <w:p>
            <w:pPr>
              <w:pStyle w:val="TableContents"/>
              <w:bidi w:val="0"/>
              <w:spacing w:before="0" w:after="283"/>
              <w:jc w:val="left"/>
              <w:rPr/>
            </w:pPr>
            <w:r>
              <w:rPr/>
              <w:t>)</w:t>
            </w:r>
          </w:p>
        </w:tc>
      </w:tr>
      <w:tr>
        <w:trPr/>
        <w:tc>
          <w:tcPr>
            <w:tcW w:w="3675" w:type="dxa"/>
            <w:tcBorders/>
            <w:shd w:fill="FFFFFF" w:val="clear"/>
            <w:vAlign w:val="center"/>
          </w:tcPr>
          <w:p>
            <w:pPr>
              <w:pStyle w:val="TableContents"/>
              <w:bidi w:val="0"/>
              <w:spacing w:before="0" w:after="283"/>
              <w:jc w:val="left"/>
              <w:rPr>
                <w:b/>
              </w:rPr>
            </w:pPr>
            <w:r>
              <w:rPr>
                <w:b/>
              </w:rPr>
              <w:t>Net income/(loss) from attributable to the Company</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b/>
              </w:rPr>
            </w:pPr>
            <w:r>
              <w:rPr>
                <w:b/>
              </w:rPr>
              <w:t>(84,674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b/>
              </w:rPr>
            </w:pPr>
            <w:r>
              <w:rPr>
                <w:b/>
              </w:rPr>
              <w:t>(160,690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70,052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b/>
              </w:rPr>
            </w:pPr>
            <w:r>
              <w:rPr>
                <w:b/>
              </w:rPr>
              <w:t>90,638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(84,674</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Notes:</w:t>
      </w:r>
    </w:p>
    <w:p>
      <w:pPr>
        <w:pStyle w:val="TextBody"/>
        <w:bidi w:val="0"/>
        <w:spacing w:before="0" w:after="0"/>
        <w:ind w:left="0" w:right="0" w:hanging="0"/>
        <w:jc w:val="left"/>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represents the elimination of inter-company transactions among the VIEs and equity subsidiaries and primary beneficiaries of VIEs and their subsidiaries. In 2023, 2024 and 2025, primary beneficiaries of VIEs and their subsidiaries did not charge any service fee from the VIEs in China under the exclusive consultation and service agreements.</w:t>
            </w:r>
          </w:p>
        </w:tc>
      </w:tr>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represents the elimination of the investment in VIEs and subsidiaries by the Company.</w:t>
            </w:r>
          </w:p>
        </w:tc>
      </w:tr>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represents the elimination of finance costs of loans among the Company, the VIEs and our subsidiaries charged at the consolidation level.</w:t>
            </w:r>
          </w:p>
        </w:tc>
      </w:tr>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adjustments were made retrospectively in the selected condensed consolidated financial data for the years ended December 31, 2023 and 2024 to reallocate the transactions pertaining to discontinued operations and reflect the corresponding effects more properly in the consolidating schedule.</w:t>
            </w:r>
          </w:p>
        </w:tc>
      </w:tr>
    </w:tbl>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7" w:color="000000"/>
        </w:rPr>
      </w:pPr>
      <w:r>
        <w:rPr>
          <w:rFonts w:ascii="Times New Roman;Times;Serif" w:hAnsi="Times New Roman;Times;Serif"/>
          <w:b/>
          <w:i/>
          <w:caps w:val="false"/>
          <w:smallCaps w:val="false"/>
          <w:sz w:val="20"/>
          <w:bdr w:val="single" w:sz="8" w:space="7" w:color="000000"/>
        </w:rPr>
        <w:t>Selected Condensed Consolidated Balance Sheets Data</w:t>
      </w:r>
    </w:p>
    <w:p>
      <w:pPr>
        <w:pStyle w:val="TextBody"/>
        <w:bidi w:val="0"/>
        <w:spacing w:before="0" w:after="0"/>
        <w:ind w:left="0" w:right="0" w:hanging="0"/>
        <w:jc w:val="left"/>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3680"/>
        <w:gridCol w:w="60"/>
        <w:gridCol w:w="60"/>
        <w:gridCol w:w="980"/>
        <w:gridCol w:w="60"/>
        <w:gridCol w:w="60"/>
        <w:gridCol w:w="65"/>
        <w:gridCol w:w="1065"/>
        <w:gridCol w:w="60"/>
        <w:gridCol w:w="60"/>
        <w:gridCol w:w="73"/>
        <w:gridCol w:w="982"/>
        <w:gridCol w:w="60"/>
        <w:gridCol w:w="60"/>
        <w:gridCol w:w="69"/>
        <w:gridCol w:w="1226"/>
        <w:gridCol w:w="95"/>
        <w:gridCol w:w="60"/>
        <w:gridCol w:w="78"/>
        <w:gridCol w:w="1277"/>
        <w:gridCol w:w="75"/>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9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 2025</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Primary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90" w:type="dxa"/>
            <w:gridSpan w:val="18"/>
            <w:tcBorders/>
            <w:vAlign w:val="center"/>
          </w:tcPr>
          <w:p>
            <w:pPr>
              <w:pStyle w:val="TableContents"/>
              <w:bidi w:val="0"/>
              <w:spacing w:before="0" w:after="283"/>
              <w:jc w:val="center"/>
              <w:rPr>
                <w:b/>
              </w:rPr>
            </w:pPr>
            <w:r>
              <w:rPr>
                <w:b/>
              </w:rPr>
              <w:t>(RMB in thousands)</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04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5"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469,483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334,198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806,599</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Short-term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79,931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82,598</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Accounts receivable from third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25,720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(1,185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24,535</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Accounts receivable from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294,958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45,215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340,173</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126,811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126,879</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due from Group companies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501,851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73,731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173,911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(749,493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Investments in subsidiaries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471,430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(471,430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Investments in VIEs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506,061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(506,061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660,149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pPr>
            <w:r>
              <w:rPr/>
              <w:t>758,191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5,163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(413,339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1,010,164</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1,639,015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2,334,886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513,340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(2,096,293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2,390,948</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Accounts and notes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516,989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517,878</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199,699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5,853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210,160</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due to Group companies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106,881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642,518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(749,493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pPr>
            <w:r>
              <w:rPr/>
              <w:t>130,645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1,305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(1,304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130,646</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112,352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1,489,851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(750,797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858,684</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Total equity attributable to shareholders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1,526,663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839,435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b/>
              </w:rPr>
            </w:pPr>
            <w:r>
              <w:rPr>
                <w:b/>
              </w:rPr>
              <w:t>506,061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(1,345,496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b/>
              </w:rPr>
            </w:pPr>
            <w:r>
              <w:rPr>
                <w:b/>
              </w:rPr>
              <w:t>1,526,663</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FFFFFF" w:val="clear"/>
            <w:tcMar>
              <w:bottom w:w="28" w:type="dxa"/>
            </w:tcMar>
            <w:vAlign w:val="center"/>
          </w:tcPr>
          <w:p>
            <w:pPr>
              <w:pStyle w:val="TableContents"/>
              <w:bidi w:val="0"/>
              <w:spacing w:before="0" w:after="283"/>
              <w:jc w:val="right"/>
              <w:rPr/>
            </w:pPr>
            <w:r>
              <w:rPr/>
              <w:t>5,601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5,601</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1,526,663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845,036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506,061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(1,345,496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1,532,264</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1,639,015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2,334,887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513,339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(2,096,293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2,390,948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3680"/>
        <w:gridCol w:w="60"/>
        <w:gridCol w:w="60"/>
        <w:gridCol w:w="980"/>
        <w:gridCol w:w="60"/>
        <w:gridCol w:w="60"/>
        <w:gridCol w:w="65"/>
        <w:gridCol w:w="1065"/>
        <w:gridCol w:w="60"/>
        <w:gridCol w:w="60"/>
        <w:gridCol w:w="73"/>
        <w:gridCol w:w="982"/>
        <w:gridCol w:w="60"/>
        <w:gridCol w:w="60"/>
        <w:gridCol w:w="69"/>
        <w:gridCol w:w="1226"/>
        <w:gridCol w:w="95"/>
        <w:gridCol w:w="60"/>
        <w:gridCol w:w="78"/>
        <w:gridCol w:w="1277"/>
        <w:gridCol w:w="75"/>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9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 2024</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Primary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90" w:type="dxa"/>
            <w:gridSpan w:val="18"/>
            <w:tcBorders/>
            <w:vAlign w:val="center"/>
          </w:tcPr>
          <w:p>
            <w:pPr>
              <w:pStyle w:val="TableContents"/>
              <w:bidi w:val="0"/>
              <w:spacing w:before="0" w:after="283"/>
              <w:jc w:val="center"/>
              <w:rPr>
                <w:b/>
              </w:rPr>
            </w:pPr>
            <w:r>
              <w:rPr>
                <w:b/>
              </w:rPr>
              <w:t>(RMB in thousands)</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164,583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854,426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7,179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1,026,188</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Short-term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72,500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72,500</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Accounts receivable from third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24,043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24,105</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Accounts receivable from a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591,221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591,221</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112,257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112,325</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due from Group companies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542,635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498,455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(1,041,090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Investments in subsidiaries</w:t>
            </w:r>
            <w:r>
              <w:rPr>
                <w:rFonts w:ascii="Times New Roman;Times;Serif" w:hAnsi="Times New Roman;Times;Serif"/>
                <w:position w:val="7"/>
                <w:sz w:val="16"/>
                <w:sz w:val="20"/>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696,911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(696,911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Investments in VIEs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506,482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(506,482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132,063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pPr>
            <w:r>
              <w:rPr/>
              <w:t>620,860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6,438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759,361</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1,536,192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2,781,789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512,202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(2,244,483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2,585,700</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Accounts and notes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767,831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4,320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772,151</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218,820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(40,501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182,619</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due to Group companies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88,497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911,880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(1,000,545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pPr>
            <w:r>
              <w:rPr/>
              <w:t>180,987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181,173</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91,751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2,079,518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(1,041,046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1,135,943</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Total equity attributable to shareholders of the Company </w:t>
            </w:r>
            <w:r>
              <w:rPr>
                <w:rFonts w:ascii="Times New Roman;Times;Serif" w:hAnsi="Times New Roman;Times;Serif"/>
                <w:b/>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1,444,441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b/>
              </w:rPr>
            </w:pPr>
            <w:r>
              <w:rPr>
                <w:b/>
              </w:rPr>
              <w:t>695,720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b/>
              </w:rPr>
            </w:pPr>
            <w:r>
              <w:rPr>
                <w:b/>
              </w:rPr>
              <w:t>506,482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b/>
              </w:rPr>
            </w:pPr>
            <w:r>
              <w:rPr>
                <w:b/>
              </w:rPr>
              <w:t>(1,202,202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b/>
              </w:rPr>
            </w:pPr>
            <w:r>
              <w:rPr>
                <w:b/>
              </w:rPr>
              <w:t>1,444,441</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FFFFFF" w:val="clear"/>
            <w:tcMar>
              <w:bottom w:w="28" w:type="dxa"/>
            </w:tcMar>
            <w:vAlign w:val="center"/>
          </w:tcPr>
          <w:p>
            <w:pPr>
              <w:pStyle w:val="TableContents"/>
              <w:bidi w:val="0"/>
              <w:spacing w:before="0" w:after="283"/>
              <w:jc w:val="right"/>
              <w:rPr/>
            </w:pPr>
            <w:r>
              <w:rPr/>
              <w:t>6,551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pPr>
            <w:r>
              <w:rPr/>
              <w:t>(1,235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5,316</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1,444,441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702,271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506,482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(1,203,437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1,449,757</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1,536,192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2,781,789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512,202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(2,244,483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2,585,700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4195"/>
        <w:gridCol w:w="60"/>
        <w:gridCol w:w="60"/>
        <w:gridCol w:w="845"/>
        <w:gridCol w:w="60"/>
        <w:gridCol w:w="60"/>
        <w:gridCol w:w="74"/>
        <w:gridCol w:w="1056"/>
        <w:gridCol w:w="60"/>
        <w:gridCol w:w="60"/>
        <w:gridCol w:w="69"/>
        <w:gridCol w:w="986"/>
        <w:gridCol w:w="80"/>
        <w:gridCol w:w="60"/>
        <w:gridCol w:w="69"/>
        <w:gridCol w:w="1046"/>
        <w:gridCol w:w="80"/>
        <w:gridCol w:w="60"/>
        <w:gridCol w:w="74"/>
        <w:gridCol w:w="1056"/>
        <w:gridCol w:w="95"/>
      </w:tblGrid>
      <w:tr>
        <w:trPr/>
        <w:tc>
          <w:tcPr>
            <w:tcW w:w="41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55"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2023</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Primary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Eliminations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55" w:type="dxa"/>
            <w:gridSpan w:val="18"/>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 in thousands)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206,405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from third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from a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109,223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157,303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Group companies</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640,828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797,159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(1,437,987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subsidiaries</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660,932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(660,932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VIEs</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578,818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(578,818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533,737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698,870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held for sale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2,266,196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(634,092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1,632,104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1,437,632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2,271,677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2,357,622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(3,312,543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2,754,388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and notes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317,454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317,454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123,504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170,814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Group companies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984,000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(1,069,703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181,784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196,755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held for sale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1,728,171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(1,002,443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725,728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89,099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1,606,742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1,787,056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(2,072,146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1,410,751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 attributable to shareholders of the Company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1,348,533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660,932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578,818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(1,240,397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1,347,886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1,348,533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664,935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570,566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(1,240,397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1,343,637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1,437,632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2,271,677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2,357,622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(3,312,543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2,754,388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Notes:</w:t>
      </w:r>
    </w:p>
    <w:p>
      <w:pPr>
        <w:pStyle w:val="TextBody"/>
        <w:bidi w:val="0"/>
        <w:spacing w:before="0" w:after="0"/>
        <w:ind w:left="0" w:right="0" w:hanging="0"/>
        <w:jc w:val="left"/>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represents the elimination of inter-company balances among the Company, the VIEs and our subsidiaries.</w:t>
            </w:r>
          </w:p>
        </w:tc>
      </w:tr>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represents the elimination of the investment in VIEs and subsidiaries by the Company.</w:t>
            </w:r>
          </w:p>
        </w:tc>
      </w:tr>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adjustments were made retrospectively in the selected condensed consolidated financial data for the years ended December 31, 2023 and 2024 to reallocate the transactions pertaining to discontinued operations and reflect the corresponding effects more properly in the consolidating schedule.</w:t>
            </w:r>
          </w:p>
        </w:tc>
      </w:tr>
    </w:tbl>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7" w:color="000000"/>
        </w:rPr>
      </w:pPr>
      <w:r>
        <w:rPr>
          <w:rFonts w:ascii="Times New Roman;Times;Serif" w:hAnsi="Times New Roman;Times;Serif"/>
          <w:b/>
          <w:i/>
          <w:caps w:val="false"/>
          <w:smallCaps w:val="false"/>
          <w:sz w:val="20"/>
          <w:bdr w:val="single" w:sz="8" w:space="7" w:color="000000"/>
        </w:rPr>
        <w:t>Selected Condensed Consolidated Cash Flow Data</w:t>
      </w:r>
    </w:p>
    <w:p>
      <w:pPr>
        <w:pStyle w:val="TextBody"/>
        <w:bidi w:val="0"/>
        <w:spacing w:before="0" w:after="0"/>
        <w:ind w:left="0" w:right="0" w:hanging="0"/>
        <w:jc w:val="left"/>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3645"/>
        <w:gridCol w:w="60"/>
        <w:gridCol w:w="60"/>
        <w:gridCol w:w="875"/>
        <w:gridCol w:w="95"/>
        <w:gridCol w:w="60"/>
        <w:gridCol w:w="60"/>
        <w:gridCol w:w="1070"/>
        <w:gridCol w:w="95"/>
        <w:gridCol w:w="60"/>
        <w:gridCol w:w="67"/>
        <w:gridCol w:w="988"/>
        <w:gridCol w:w="95"/>
        <w:gridCol w:w="60"/>
        <w:gridCol w:w="69"/>
        <w:gridCol w:w="1226"/>
        <w:gridCol w:w="95"/>
        <w:gridCol w:w="60"/>
        <w:gridCol w:w="78"/>
        <w:gridCol w:w="1277"/>
        <w:gridCol w:w="110"/>
      </w:tblGrid>
      <w:tr>
        <w:trPr/>
        <w:tc>
          <w:tcPr>
            <w:tcW w:w="3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9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 2025</w:t>
            </w:r>
          </w:p>
        </w:tc>
        <w:tc>
          <w:tcPr>
            <w:tcW w:w="110" w:type="dxa"/>
            <w:tcBorders/>
            <w:vAlign w:val="center"/>
          </w:tcPr>
          <w:p>
            <w:pPr>
              <w:pStyle w:val="TableContents"/>
              <w:bidi w:val="0"/>
              <w:spacing w:before="0" w:after="283"/>
              <w:jc w:val="left"/>
              <w:rPr/>
            </w:pPr>
            <w:r>
              <w:rPr/>
              <w:t> </w:t>
            </w:r>
          </w:p>
        </w:tc>
      </w:tr>
      <w:tr>
        <w:trPr/>
        <w:tc>
          <w:tcPr>
            <w:tcW w:w="36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Primary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110" w:type="dxa"/>
            <w:tcBorders/>
            <w:vAlign w:val="center"/>
          </w:tcPr>
          <w:p>
            <w:pPr>
              <w:pStyle w:val="TableContents"/>
              <w:bidi w:val="0"/>
              <w:spacing w:before="0" w:after="283"/>
              <w:jc w:val="left"/>
              <w:rPr/>
            </w:pPr>
            <w:r>
              <w:rPr/>
              <w:t> </w:t>
            </w:r>
          </w:p>
        </w:tc>
      </w:tr>
      <w:tr>
        <w:trPr/>
        <w:tc>
          <w:tcPr>
            <w:tcW w:w="3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90" w:type="dxa"/>
            <w:gridSpan w:val="18"/>
            <w:tcBorders/>
            <w:vAlign w:val="center"/>
          </w:tcPr>
          <w:p>
            <w:pPr>
              <w:pStyle w:val="TableContents"/>
              <w:bidi w:val="0"/>
              <w:spacing w:before="0" w:after="283"/>
              <w:jc w:val="center"/>
              <w:rPr>
                <w:b/>
              </w:rPr>
            </w:pPr>
            <w:r>
              <w:rPr>
                <w:b/>
              </w:rPr>
              <w:t>(RMB in thousands)</w:t>
            </w:r>
          </w:p>
        </w:tc>
        <w:tc>
          <w:tcPr>
            <w:tcW w:w="110" w:type="dxa"/>
            <w:tcBorders/>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of goods and services to Group companies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1,528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Purchases of goods and services from Group companies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(1,528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1,539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pPr>
            <w:r>
              <w:rPr/>
              <w:t>Other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111,820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pPr>
            <w:r>
              <w:rPr/>
              <w:t>29,002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1,503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12,313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154,638</w:t>
            </w:r>
          </w:p>
        </w:tc>
        <w:tc>
          <w:tcPr>
            <w:tcW w:w="110"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b/>
              </w:rPr>
            </w:pPr>
            <w:r>
              <w:rPr>
                <w:b/>
              </w:rPr>
              <w:t>Net cash provided by continuing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111,820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27,485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12,313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154,638</w:t>
            </w:r>
          </w:p>
        </w:tc>
        <w:tc>
          <w:tcPr>
            <w:tcW w:w="110"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pPr>
            <w:r>
              <w:rPr/>
              <w:t>Receipts from repayment of advances by Group companies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762,936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980,000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(1,742,936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pPr>
            <w:r>
              <w:rPr/>
              <w:t>Other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(122,020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pPr>
            <w:r>
              <w:rPr/>
              <w:t>(110,844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(232,864</w:t>
            </w:r>
          </w:p>
        </w:tc>
        <w:tc>
          <w:tcPr>
            <w:tcW w:w="110" w:type="dxa"/>
            <w:tcBorders/>
            <w:shd w:fill="FFFFFF" w:val="clear"/>
            <w:vAlign w:val="center"/>
          </w:tcPr>
          <w:p>
            <w:pPr>
              <w:pStyle w:val="TableContents"/>
              <w:bidi w:val="0"/>
              <w:spacing w:before="0" w:after="283"/>
              <w:jc w:val="left"/>
              <w:rPr/>
            </w:pPr>
            <w:r>
              <w:rPr/>
              <w:t>)</w:t>
            </w:r>
          </w:p>
        </w:tc>
      </w:tr>
      <w:tr>
        <w:trPr/>
        <w:tc>
          <w:tcPr>
            <w:tcW w:w="3645" w:type="dxa"/>
            <w:tcBorders/>
            <w:shd w:fill="CCEEFF" w:val="clear"/>
            <w:vAlign w:val="center"/>
          </w:tcPr>
          <w:p>
            <w:pPr>
              <w:pStyle w:val="TableContents"/>
              <w:bidi w:val="0"/>
              <w:spacing w:before="0" w:after="283"/>
              <w:jc w:val="left"/>
              <w:rPr>
                <w:b/>
              </w:rPr>
            </w:pPr>
            <w:r>
              <w:rPr>
                <w:b/>
              </w:rPr>
              <w:t>Net cash provided by/(used in)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(122,020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652,092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980,000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(1,742,936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(232,864</w:t>
            </w:r>
          </w:p>
        </w:tc>
        <w:tc>
          <w:tcPr>
            <w:tcW w:w="110" w:type="dxa"/>
            <w:tcBorders/>
            <w:shd w:fill="CCEEFF" w:val="clear"/>
            <w:vAlign w:val="center"/>
          </w:tcPr>
          <w:p>
            <w:pPr>
              <w:pStyle w:val="TableContents"/>
              <w:bidi w:val="0"/>
              <w:spacing w:before="0" w:after="283"/>
              <w:jc w:val="left"/>
              <w:rPr>
                <w:b/>
              </w:rPr>
            </w:pPr>
            <w:r>
              <w:rPr>
                <w:b/>
              </w:rPr>
              <w:t>)</w:t>
            </w:r>
          </w:p>
        </w:tc>
      </w:tr>
      <w:tr>
        <w:trPr/>
        <w:tc>
          <w:tcPr>
            <w:tcW w:w="3645" w:type="dxa"/>
            <w:tcBorders/>
            <w:shd w:fill="FFFFFF" w:val="clear"/>
            <w:vAlign w:val="center"/>
          </w:tcPr>
          <w:p>
            <w:pPr>
              <w:pStyle w:val="TableContents"/>
              <w:bidi w:val="0"/>
              <w:spacing w:before="0" w:after="283"/>
              <w:jc w:val="left"/>
              <w:rPr/>
            </w:pPr>
            <w:r>
              <w:rPr/>
              <w:t>Repayment for advances from Group companies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(106,936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(980,000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(656,000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1,742,936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pPr>
            <w:r>
              <w:rPr/>
              <w:t>Other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(41,615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pPr>
            <w:r>
              <w:rPr/>
              <w:t>(63,905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(105,520</w:t>
            </w:r>
          </w:p>
        </w:tc>
        <w:tc>
          <w:tcPr>
            <w:tcW w:w="110" w:type="dxa"/>
            <w:tcBorders/>
            <w:shd w:fill="CCEEFF" w:val="clear"/>
            <w:vAlign w:val="center"/>
          </w:tcPr>
          <w:p>
            <w:pPr>
              <w:pStyle w:val="TableContents"/>
              <w:bidi w:val="0"/>
              <w:spacing w:before="0" w:after="283"/>
              <w:jc w:val="left"/>
              <w:rPr/>
            </w:pPr>
            <w:r>
              <w:rPr/>
              <w:t>)</w:t>
            </w:r>
          </w:p>
        </w:tc>
      </w:tr>
      <w:tr>
        <w:trPr/>
        <w:tc>
          <w:tcPr>
            <w:tcW w:w="3645" w:type="dxa"/>
            <w:tcBorders/>
            <w:shd w:fill="FFFFFF" w:val="clear"/>
            <w:vAlign w:val="center"/>
          </w:tcPr>
          <w:p>
            <w:pPr>
              <w:pStyle w:val="TableContents"/>
              <w:bidi w:val="0"/>
              <w:spacing w:before="0" w:after="283"/>
              <w:jc w:val="left"/>
              <w:rPr>
                <w:b/>
              </w:rPr>
            </w:pPr>
            <w:r>
              <w:rPr>
                <w:b/>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(148,551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(1,043,905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(656,000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1,742,936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(105,520</w:t>
            </w:r>
          </w:p>
        </w:tc>
        <w:tc>
          <w:tcPr>
            <w:tcW w:w="110" w:type="dxa"/>
            <w:tcBorders/>
            <w:shd w:fill="FFFFFF" w:val="clear"/>
            <w:vAlign w:val="center"/>
          </w:tcPr>
          <w:p>
            <w:pPr>
              <w:pStyle w:val="TableContents"/>
              <w:bidi w:val="0"/>
              <w:spacing w:before="0" w:after="283"/>
              <w:jc w:val="left"/>
              <w:rPr>
                <w:b/>
              </w:rPr>
            </w:pPr>
            <w:r>
              <w:rPr>
                <w:b/>
              </w:rPr>
              <w:t>)</w:t>
            </w:r>
          </w:p>
        </w:tc>
      </w:tr>
      <w:tr>
        <w:trPr/>
        <w:tc>
          <w:tcPr>
            <w:tcW w:w="3645" w:type="dxa"/>
            <w:tcBorders/>
            <w:shd w:fill="CCEEFF" w:val="clear"/>
            <w:vAlign w:val="center"/>
          </w:tcPr>
          <w:p>
            <w:pPr>
              <w:pStyle w:val="TableContents"/>
              <w:bidi w:val="0"/>
              <w:spacing w:before="0" w:after="283"/>
              <w:jc w:val="left"/>
              <w:rPr/>
            </w:pPr>
            <w:r>
              <w:rPr/>
              <w:t>Effect of exchanges rates on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2,523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(12,313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(12,704</w:t>
            </w:r>
          </w:p>
        </w:tc>
        <w:tc>
          <w:tcPr>
            <w:tcW w:w="110" w:type="dxa"/>
            <w:tcBorders/>
            <w:shd w:fill="CCEEFF" w:val="clear"/>
            <w:vAlign w:val="center"/>
          </w:tcPr>
          <w:p>
            <w:pPr>
              <w:pStyle w:val="TableContents"/>
              <w:bidi w:val="0"/>
              <w:spacing w:before="0" w:after="283"/>
              <w:jc w:val="left"/>
              <w:rPr/>
            </w:pPr>
            <w:r>
              <w:rPr/>
              <w:t>)</w:t>
            </w:r>
          </w:p>
        </w:tc>
      </w:tr>
      <w:tr>
        <w:trPr/>
        <w:tc>
          <w:tcPr>
            <w:tcW w:w="3645" w:type="dxa"/>
            <w:tcBorders/>
            <w:shd w:fill="FFFFFF" w:val="clear"/>
            <w:vAlign w:val="center"/>
          </w:tcPr>
          <w:p>
            <w:pPr>
              <w:pStyle w:val="TableContents"/>
              <w:bidi w:val="0"/>
              <w:spacing w:before="0" w:after="283"/>
              <w:jc w:val="left"/>
              <w:rPr/>
            </w:pPr>
            <w:r>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(161,665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(361,805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327,020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(196,450</w:t>
            </w:r>
          </w:p>
        </w:tc>
        <w:tc>
          <w:tcPr>
            <w:tcW w:w="110" w:type="dxa"/>
            <w:tcBorders/>
            <w:shd w:fill="FFFFFF" w:val="clear"/>
            <w:vAlign w:val="center"/>
          </w:tcPr>
          <w:p>
            <w:pPr>
              <w:pStyle w:val="TableContents"/>
              <w:bidi w:val="0"/>
              <w:spacing w:before="0" w:after="283"/>
              <w:jc w:val="left"/>
              <w:rPr/>
            </w:pPr>
            <w:r>
              <w:rPr/>
              <w:t>)</w:t>
            </w:r>
          </w:p>
        </w:tc>
      </w:tr>
      <w:tr>
        <w:trPr/>
        <w:tc>
          <w:tcPr>
            <w:tcW w:w="3645" w:type="dxa"/>
            <w:tcBorders/>
            <w:shd w:fill="CCEEFF" w:val="clear"/>
            <w:vAlign w:val="center"/>
          </w:tcPr>
          <w:p>
            <w:pPr>
              <w:pStyle w:val="TableContents"/>
              <w:bidi w:val="0"/>
              <w:spacing w:before="0" w:after="283"/>
              <w:jc w:val="left"/>
              <w:rPr/>
            </w:pPr>
            <w:r>
              <w:rPr/>
              <w:t>Cash and cash equivalents and restricted cash at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164,583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pPr>
            <w:r>
              <w:rPr/>
              <w:t>995,718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7,179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1,167,480</w:t>
            </w:r>
          </w:p>
        </w:tc>
        <w:tc>
          <w:tcPr>
            <w:tcW w:w="110"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b/>
              </w:rPr>
            </w:pPr>
            <w:r>
              <w:rPr>
                <w:b/>
              </w:rPr>
              <w:t>Cash and cash equivalents and restricted cash at end of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2,918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633,913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334,199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971,030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3645"/>
        <w:gridCol w:w="60"/>
        <w:gridCol w:w="60"/>
        <w:gridCol w:w="875"/>
        <w:gridCol w:w="95"/>
        <w:gridCol w:w="60"/>
        <w:gridCol w:w="72"/>
        <w:gridCol w:w="1058"/>
        <w:gridCol w:w="95"/>
        <w:gridCol w:w="60"/>
        <w:gridCol w:w="67"/>
        <w:gridCol w:w="988"/>
        <w:gridCol w:w="95"/>
        <w:gridCol w:w="60"/>
        <w:gridCol w:w="69"/>
        <w:gridCol w:w="1226"/>
        <w:gridCol w:w="95"/>
        <w:gridCol w:w="60"/>
        <w:gridCol w:w="78"/>
        <w:gridCol w:w="1277"/>
        <w:gridCol w:w="110"/>
      </w:tblGrid>
      <w:tr>
        <w:trPr/>
        <w:tc>
          <w:tcPr>
            <w:tcW w:w="3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9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 2024</w:t>
            </w:r>
          </w:p>
        </w:tc>
        <w:tc>
          <w:tcPr>
            <w:tcW w:w="110" w:type="dxa"/>
            <w:tcBorders/>
            <w:vAlign w:val="center"/>
          </w:tcPr>
          <w:p>
            <w:pPr>
              <w:pStyle w:val="TableContents"/>
              <w:bidi w:val="0"/>
              <w:spacing w:before="0" w:after="283"/>
              <w:jc w:val="left"/>
              <w:rPr/>
            </w:pPr>
            <w:r>
              <w:rPr/>
              <w:t> </w:t>
            </w:r>
          </w:p>
        </w:tc>
      </w:tr>
      <w:tr>
        <w:trPr/>
        <w:tc>
          <w:tcPr>
            <w:tcW w:w="36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Primary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110" w:type="dxa"/>
            <w:tcBorders/>
            <w:vAlign w:val="center"/>
          </w:tcPr>
          <w:p>
            <w:pPr>
              <w:pStyle w:val="TableContents"/>
              <w:bidi w:val="0"/>
              <w:spacing w:before="0" w:after="283"/>
              <w:jc w:val="left"/>
              <w:rPr/>
            </w:pPr>
            <w:r>
              <w:rPr/>
              <w:t> </w:t>
            </w:r>
          </w:p>
        </w:tc>
      </w:tr>
      <w:tr>
        <w:trPr/>
        <w:tc>
          <w:tcPr>
            <w:tcW w:w="3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90" w:type="dxa"/>
            <w:gridSpan w:val="18"/>
            <w:tcBorders/>
            <w:vAlign w:val="center"/>
          </w:tcPr>
          <w:p>
            <w:pPr>
              <w:pStyle w:val="TableContents"/>
              <w:bidi w:val="0"/>
              <w:spacing w:before="0" w:after="283"/>
              <w:jc w:val="center"/>
              <w:rPr>
                <w:b/>
              </w:rPr>
            </w:pPr>
            <w:r>
              <w:rPr>
                <w:b/>
              </w:rPr>
              <w:t>(RMB in thousands)</w:t>
            </w:r>
          </w:p>
        </w:tc>
        <w:tc>
          <w:tcPr>
            <w:tcW w:w="110" w:type="dxa"/>
            <w:tcBorders/>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of goods and services to Group companies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588,081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102,924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(691,005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Purchases of goods and services from Group companies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(102,924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(588,081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691,005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pPr>
            <w:r>
              <w:rPr/>
              <w:t>Other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274,797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185,005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121,193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580,995</w:t>
            </w:r>
          </w:p>
        </w:tc>
        <w:tc>
          <w:tcPr>
            <w:tcW w:w="110"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pPr>
            <w:r>
              <w:rPr/>
              <w:t>Net cash provided by/(used in) continuing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274,797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670,162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(363,964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580,995</w:t>
            </w:r>
          </w:p>
        </w:tc>
        <w:tc>
          <w:tcPr>
            <w:tcW w:w="110"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pPr>
            <w:r>
              <w:rPr/>
              <w:t>Net cash provided by discontinued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135,033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135,033</w:t>
            </w:r>
          </w:p>
        </w:tc>
        <w:tc>
          <w:tcPr>
            <w:tcW w:w="110"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b/>
              </w:rPr>
            </w:pPr>
            <w:r>
              <w:rPr>
                <w:b/>
              </w:rPr>
              <w:t>Net cash (used in)/provided by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274,797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670,162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(228,931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716,028</w:t>
            </w:r>
          </w:p>
        </w:tc>
        <w:tc>
          <w:tcPr>
            <w:tcW w:w="110"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pPr>
            <w:r>
              <w:rPr/>
              <w:t>Loans to Group companies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(56,973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56,973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pPr>
            <w:r>
              <w:rPr/>
              <w:t>Repayment of loans from Group companies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288,794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164,043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(452,837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pPr>
            <w:r>
              <w:rPr/>
              <w:t>Receipts from repayment of advances by Group companies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464,180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556,535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(1,020,715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pPr>
            <w:r>
              <w:rPr/>
              <w:t>Other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(290,757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(11,055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(301,812</w:t>
            </w:r>
          </w:p>
        </w:tc>
        <w:tc>
          <w:tcPr>
            <w:tcW w:w="110" w:type="dxa"/>
            <w:tcBorders/>
            <w:shd w:fill="FFFFFF" w:val="clear"/>
            <w:vAlign w:val="center"/>
          </w:tcPr>
          <w:p>
            <w:pPr>
              <w:pStyle w:val="TableContents"/>
              <w:bidi w:val="0"/>
              <w:spacing w:before="0" w:after="283"/>
              <w:jc w:val="left"/>
              <w:rPr/>
            </w:pPr>
            <w:r>
              <w:rPr/>
              <w:t>)</w:t>
            </w:r>
          </w:p>
        </w:tc>
      </w:tr>
      <w:tr>
        <w:trPr/>
        <w:tc>
          <w:tcPr>
            <w:tcW w:w="3645" w:type="dxa"/>
            <w:tcBorders/>
            <w:shd w:fill="CCEEFF" w:val="clear"/>
            <w:vAlign w:val="center"/>
          </w:tcPr>
          <w:p>
            <w:pPr>
              <w:pStyle w:val="TableContents"/>
              <w:bidi w:val="0"/>
              <w:spacing w:before="0" w:after="283"/>
              <w:jc w:val="left"/>
              <w:rPr/>
            </w:pPr>
            <w:r>
              <w:rPr/>
              <w:t>Net cash provided by/(used in) continuing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(58,936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617,167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556,535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(1,416,579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(301,812</w:t>
            </w:r>
          </w:p>
        </w:tc>
        <w:tc>
          <w:tcPr>
            <w:tcW w:w="110" w:type="dxa"/>
            <w:tcBorders/>
            <w:shd w:fill="CCEEFF" w:val="clear"/>
            <w:vAlign w:val="center"/>
          </w:tcPr>
          <w:p>
            <w:pPr>
              <w:pStyle w:val="TableContents"/>
              <w:bidi w:val="0"/>
              <w:spacing w:before="0" w:after="283"/>
              <w:jc w:val="left"/>
              <w:rPr/>
            </w:pPr>
            <w:r>
              <w:rPr/>
              <w:t>)</w:t>
            </w:r>
          </w:p>
        </w:tc>
      </w:tr>
      <w:tr>
        <w:trPr/>
        <w:tc>
          <w:tcPr>
            <w:tcW w:w="3645" w:type="dxa"/>
            <w:tcBorders/>
            <w:shd w:fill="FFFFFF" w:val="clear"/>
            <w:vAlign w:val="center"/>
          </w:tcPr>
          <w:p>
            <w:pPr>
              <w:pStyle w:val="TableContents"/>
              <w:bidi w:val="0"/>
              <w:spacing w:before="0" w:after="283"/>
              <w:jc w:val="left"/>
              <w:rPr/>
            </w:pPr>
            <w:r>
              <w:rPr/>
              <w:t>Net cash provided by discontinued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136,918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136,918</w:t>
            </w:r>
          </w:p>
        </w:tc>
        <w:tc>
          <w:tcPr>
            <w:tcW w:w="110"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b/>
              </w:rPr>
            </w:pPr>
            <w:r>
              <w:rPr>
                <w:b/>
              </w:rPr>
              <w:t>Net cash provided by/(used in)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(58,936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617,167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693,453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(1,416,579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(164,894</w:t>
            </w:r>
          </w:p>
        </w:tc>
        <w:tc>
          <w:tcPr>
            <w:tcW w:w="110" w:type="dxa"/>
            <w:tcBorders/>
            <w:shd w:fill="CCEEFF" w:val="clear"/>
            <w:vAlign w:val="center"/>
          </w:tcPr>
          <w:p>
            <w:pPr>
              <w:pStyle w:val="TableContents"/>
              <w:bidi w:val="0"/>
              <w:spacing w:before="0" w:after="283"/>
              <w:jc w:val="left"/>
              <w:rPr>
                <w:b/>
              </w:rPr>
            </w:pPr>
            <w:r>
              <w:rPr>
                <w:b/>
              </w:rPr>
              <w:t>)</w:t>
            </w:r>
          </w:p>
        </w:tc>
      </w:tr>
      <w:tr>
        <w:trPr/>
        <w:tc>
          <w:tcPr>
            <w:tcW w:w="3645" w:type="dxa"/>
            <w:tcBorders/>
            <w:shd w:fill="FFFFFF" w:val="clear"/>
            <w:vAlign w:val="center"/>
          </w:tcPr>
          <w:p>
            <w:pPr>
              <w:pStyle w:val="TableContents"/>
              <w:bidi w:val="0"/>
              <w:spacing w:before="0" w:after="283"/>
              <w:jc w:val="left"/>
              <w:rPr/>
            </w:pPr>
            <w:r>
              <w:rPr/>
              <w:t>Repayment for advances from Group companies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(78,617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(556,536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(385,563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1,020,716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pPr>
            <w:r>
              <w:rPr/>
              <w:t>Repayment for loans from Group companies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(452,836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452,836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pPr>
            <w:r>
              <w:rPr/>
              <w:t>Borrowings under loans from Group companies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56,973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(56,973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pPr>
            <w:r>
              <w:rPr/>
              <w:t>Other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(4,173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(485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(4,658</w:t>
            </w:r>
          </w:p>
        </w:tc>
        <w:tc>
          <w:tcPr>
            <w:tcW w:w="110" w:type="dxa"/>
            <w:tcBorders/>
            <w:shd w:fill="CCEEFF" w:val="clear"/>
            <w:vAlign w:val="center"/>
          </w:tcPr>
          <w:p>
            <w:pPr>
              <w:pStyle w:val="TableContents"/>
              <w:bidi w:val="0"/>
              <w:spacing w:before="0" w:after="283"/>
              <w:jc w:val="left"/>
              <w:rPr/>
            </w:pPr>
            <w:r>
              <w:rPr/>
              <w:t>)</w:t>
            </w:r>
          </w:p>
        </w:tc>
      </w:tr>
      <w:tr>
        <w:trPr/>
        <w:tc>
          <w:tcPr>
            <w:tcW w:w="3645" w:type="dxa"/>
            <w:tcBorders/>
            <w:shd w:fill="FFFFFF" w:val="clear"/>
            <w:vAlign w:val="center"/>
          </w:tcPr>
          <w:p>
            <w:pPr>
              <w:pStyle w:val="TableContents"/>
              <w:bidi w:val="0"/>
              <w:spacing w:before="0" w:after="283"/>
              <w:jc w:val="left"/>
              <w:rPr/>
            </w:pPr>
            <w:r>
              <w:rPr/>
              <w:t>Net cash used in continuing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(82,790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(500,048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(838,399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pPr>
            <w:r>
              <w:rPr/>
              <w:t>1,416,579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(4,658</w:t>
            </w:r>
          </w:p>
        </w:tc>
        <w:tc>
          <w:tcPr>
            <w:tcW w:w="110" w:type="dxa"/>
            <w:tcBorders/>
            <w:shd w:fill="FFFFFF" w:val="clear"/>
            <w:vAlign w:val="center"/>
          </w:tcPr>
          <w:p>
            <w:pPr>
              <w:pStyle w:val="TableContents"/>
              <w:bidi w:val="0"/>
              <w:spacing w:before="0" w:after="283"/>
              <w:jc w:val="left"/>
              <w:rPr/>
            </w:pPr>
            <w:r>
              <w:rPr/>
              <w:t>)</w:t>
            </w:r>
          </w:p>
        </w:tc>
      </w:tr>
      <w:tr>
        <w:trPr/>
        <w:tc>
          <w:tcPr>
            <w:tcW w:w="3645" w:type="dxa"/>
            <w:tcBorders/>
            <w:shd w:fill="CCEEFF" w:val="clear"/>
            <w:vAlign w:val="center"/>
          </w:tcPr>
          <w:p>
            <w:pPr>
              <w:pStyle w:val="TableContents"/>
              <w:bidi w:val="0"/>
              <w:spacing w:before="0" w:after="283"/>
              <w:jc w:val="left"/>
              <w:rPr/>
            </w:pPr>
            <w:r>
              <w:rPr/>
              <w:t>Net cash used in discontinued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(30,000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(30,000</w:t>
            </w:r>
          </w:p>
        </w:tc>
        <w:tc>
          <w:tcPr>
            <w:tcW w:w="110" w:type="dxa"/>
            <w:tcBorders/>
            <w:shd w:fill="CCEEFF" w:val="clear"/>
            <w:vAlign w:val="center"/>
          </w:tcPr>
          <w:p>
            <w:pPr>
              <w:pStyle w:val="TableContents"/>
              <w:bidi w:val="0"/>
              <w:spacing w:before="0" w:after="283"/>
              <w:jc w:val="left"/>
              <w:rPr/>
            </w:pPr>
            <w:r>
              <w:rPr/>
              <w:t>)</w:t>
            </w:r>
          </w:p>
        </w:tc>
      </w:tr>
      <w:tr>
        <w:trPr/>
        <w:tc>
          <w:tcPr>
            <w:tcW w:w="3645" w:type="dxa"/>
            <w:tcBorders/>
            <w:shd w:fill="FFFFFF" w:val="clear"/>
            <w:vAlign w:val="center"/>
          </w:tcPr>
          <w:p>
            <w:pPr>
              <w:pStyle w:val="TableContents"/>
              <w:bidi w:val="0"/>
              <w:spacing w:before="0" w:after="283"/>
              <w:jc w:val="left"/>
              <w:rPr>
                <w:b/>
              </w:rPr>
            </w:pPr>
            <w:r>
              <w:rPr>
                <w:b/>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(82,790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(500,048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(868,399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1,416,579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(34,658</w:t>
            </w:r>
          </w:p>
        </w:tc>
        <w:tc>
          <w:tcPr>
            <w:tcW w:w="110" w:type="dxa"/>
            <w:tcBorders/>
            <w:shd w:fill="FFFFFF" w:val="clear"/>
            <w:vAlign w:val="center"/>
          </w:tcPr>
          <w:p>
            <w:pPr>
              <w:pStyle w:val="TableContents"/>
              <w:bidi w:val="0"/>
              <w:spacing w:before="0" w:after="283"/>
              <w:jc w:val="left"/>
              <w:rPr>
                <w:b/>
              </w:rPr>
            </w:pPr>
            <w:r>
              <w:rPr>
                <w:b/>
              </w:rPr>
              <w:t>)</w:t>
            </w:r>
          </w:p>
        </w:tc>
      </w:tr>
      <w:tr>
        <w:trPr/>
        <w:tc>
          <w:tcPr>
            <w:tcW w:w="3645" w:type="dxa"/>
            <w:tcBorders/>
            <w:shd w:fill="CCEEFF" w:val="clear"/>
            <w:vAlign w:val="center"/>
          </w:tcPr>
          <w:p>
            <w:pPr>
              <w:pStyle w:val="TableContents"/>
              <w:bidi w:val="0"/>
              <w:spacing w:before="0" w:after="283"/>
              <w:jc w:val="left"/>
              <w:rPr/>
            </w:pPr>
            <w:r>
              <w:rPr/>
              <w:t>Effect of exchanges rates on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18,169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(3,520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14,649</w:t>
            </w:r>
          </w:p>
        </w:tc>
        <w:tc>
          <w:tcPr>
            <w:tcW w:w="110"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pPr>
            <w:r>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151,240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783,762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(403,877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531,125</w:t>
            </w:r>
          </w:p>
        </w:tc>
        <w:tc>
          <w:tcPr>
            <w:tcW w:w="110"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pPr>
            <w:r>
              <w:rPr/>
              <w:t>Cash and cash equivalents and restricted cash at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13,343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211,956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411,056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636,355</w:t>
            </w:r>
          </w:p>
        </w:tc>
        <w:tc>
          <w:tcPr>
            <w:tcW w:w="110"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b/>
              </w:rPr>
            </w:pPr>
            <w:r>
              <w:rPr>
                <w:b/>
              </w:rPr>
              <w:t>Cash and cash equivalents and restricted cash at end of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164,583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995,718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1,167,480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3735"/>
        <w:gridCol w:w="60"/>
        <w:gridCol w:w="62"/>
        <w:gridCol w:w="783"/>
        <w:gridCol w:w="95"/>
        <w:gridCol w:w="60"/>
        <w:gridCol w:w="72"/>
        <w:gridCol w:w="1058"/>
        <w:gridCol w:w="95"/>
        <w:gridCol w:w="60"/>
        <w:gridCol w:w="67"/>
        <w:gridCol w:w="988"/>
        <w:gridCol w:w="95"/>
        <w:gridCol w:w="60"/>
        <w:gridCol w:w="83"/>
        <w:gridCol w:w="1212"/>
        <w:gridCol w:w="95"/>
        <w:gridCol w:w="60"/>
        <w:gridCol w:w="86"/>
        <w:gridCol w:w="1269"/>
        <w:gridCol w:w="110"/>
      </w:tblGrid>
      <w:tr>
        <w:trPr/>
        <w:tc>
          <w:tcPr>
            <w:tcW w:w="3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0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 2023</w:t>
            </w:r>
          </w:p>
        </w:tc>
        <w:tc>
          <w:tcPr>
            <w:tcW w:w="110" w:type="dxa"/>
            <w:tcBorders/>
            <w:vAlign w:val="center"/>
          </w:tcPr>
          <w:p>
            <w:pPr>
              <w:pStyle w:val="TableContents"/>
              <w:bidi w:val="0"/>
              <w:spacing w:before="0" w:after="283"/>
              <w:jc w:val="left"/>
              <w:rPr/>
            </w:pPr>
            <w:r>
              <w:rPr/>
              <w:t> </w:t>
            </w:r>
          </w:p>
        </w:tc>
      </w:tr>
      <w:tr>
        <w:trPr/>
        <w:tc>
          <w:tcPr>
            <w:tcW w:w="37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Primary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110" w:type="dxa"/>
            <w:tcBorders/>
            <w:vAlign w:val="center"/>
          </w:tcPr>
          <w:p>
            <w:pPr>
              <w:pStyle w:val="TableContents"/>
              <w:bidi w:val="0"/>
              <w:spacing w:before="0" w:after="283"/>
              <w:jc w:val="left"/>
              <w:rPr/>
            </w:pPr>
            <w:r>
              <w:rPr/>
              <w:t> </w:t>
            </w:r>
          </w:p>
        </w:tc>
      </w:tr>
      <w:tr>
        <w:trPr/>
        <w:tc>
          <w:tcPr>
            <w:tcW w:w="3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00" w:type="dxa"/>
            <w:gridSpan w:val="18"/>
            <w:tcBorders/>
            <w:vAlign w:val="center"/>
          </w:tcPr>
          <w:p>
            <w:pPr>
              <w:pStyle w:val="TableContents"/>
              <w:bidi w:val="0"/>
              <w:spacing w:before="0" w:after="283"/>
              <w:jc w:val="center"/>
              <w:rPr>
                <w:b/>
              </w:rPr>
            </w:pPr>
            <w:r>
              <w:rPr>
                <w:b/>
              </w:rPr>
              <w:t>(RMB in thousands)</w:t>
            </w:r>
          </w:p>
        </w:tc>
        <w:tc>
          <w:tcPr>
            <w:tcW w:w="110" w:type="dxa"/>
            <w:tcBorders/>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of goods and services to Group companies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692,027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(692,027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Purchases of goods and services from Group companies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(94,673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94,673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283"/>
              <w:jc w:val="left"/>
              <w:rPr/>
            </w:pPr>
            <w:r>
              <w:rPr/>
              <w:t>Other operating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(93,378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(642,085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776,782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pPr>
            <w:r>
              <w:rPr/>
              <w:t>41,319</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pPr>
            <w:r>
              <w:rPr/>
              <w:t>Net cash provided by/(used in) continuing operating activities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pPr>
            <w:r>
              <w:rPr/>
              <w:t>(93,378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(44,731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776,782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(597,354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pPr>
            <w:r>
              <w:rPr/>
              <w:t>41,319</w:t>
            </w:r>
          </w:p>
        </w:tc>
        <w:tc>
          <w:tcPr>
            <w:tcW w:w="110" w:type="dxa"/>
            <w:tcBorders/>
            <w:shd w:fill="FFFFFF" w:val="clear"/>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283"/>
              <w:jc w:val="left"/>
              <w:rPr/>
            </w:pPr>
            <w:r>
              <w:rPr/>
              <w:t>Net cash used in discontinued operating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(741,901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597,354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pPr>
            <w:r>
              <w:rPr/>
              <w:t>(144,547</w:t>
            </w:r>
          </w:p>
        </w:tc>
        <w:tc>
          <w:tcPr>
            <w:tcW w:w="110" w:type="dxa"/>
            <w:tcBorders/>
            <w:shd w:fill="CCEEFF" w:val="clear"/>
            <w:vAlign w:val="center"/>
          </w:tcPr>
          <w:p>
            <w:pPr>
              <w:pStyle w:val="TableContents"/>
              <w:bidi w:val="0"/>
              <w:spacing w:before="0" w:after="283"/>
              <w:jc w:val="left"/>
              <w:rPr/>
            </w:pPr>
            <w:r>
              <w:rPr/>
              <w:t>)</w:t>
            </w:r>
          </w:p>
        </w:tc>
      </w:tr>
      <w:tr>
        <w:trPr/>
        <w:tc>
          <w:tcPr>
            <w:tcW w:w="3735" w:type="dxa"/>
            <w:tcBorders/>
            <w:shd w:fill="FFFFFF" w:val="clear"/>
            <w:vAlign w:val="center"/>
          </w:tcPr>
          <w:p>
            <w:pPr>
              <w:pStyle w:val="TableContents"/>
              <w:bidi w:val="0"/>
              <w:spacing w:before="0" w:after="283"/>
              <w:jc w:val="left"/>
              <w:rPr>
                <w:b/>
              </w:rPr>
            </w:pPr>
            <w:r>
              <w:rPr>
                <w:b/>
              </w:rPr>
              <w:t>Net cash (used in)/provided by operating activities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(93,378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(44,731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34,881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(103,228</w:t>
            </w:r>
          </w:p>
        </w:tc>
        <w:tc>
          <w:tcPr>
            <w:tcW w:w="110" w:type="dxa"/>
            <w:tcBorders/>
            <w:shd w:fill="FFFFFF" w:val="clear"/>
            <w:vAlign w:val="center"/>
          </w:tcPr>
          <w:p>
            <w:pPr>
              <w:pStyle w:val="TableContents"/>
              <w:bidi w:val="0"/>
              <w:spacing w:before="0" w:after="283"/>
              <w:jc w:val="left"/>
              <w:rPr>
                <w:b/>
              </w:rPr>
            </w:pPr>
            <w:r>
              <w:rPr>
                <w:b/>
              </w:rPr>
              <w:t>)</w:t>
            </w:r>
          </w:p>
        </w:tc>
      </w:tr>
      <w:tr>
        <w:trPr/>
        <w:tc>
          <w:tcPr>
            <w:tcW w:w="3735" w:type="dxa"/>
            <w:tcBorders/>
            <w:shd w:fill="CCEEFF" w:val="clear"/>
            <w:vAlign w:val="center"/>
          </w:tcPr>
          <w:p>
            <w:pPr>
              <w:pStyle w:val="TableContents"/>
              <w:bidi w:val="0"/>
              <w:spacing w:before="0" w:after="283"/>
              <w:jc w:val="left"/>
              <w:rPr/>
            </w:pPr>
            <w:r>
              <w:rPr/>
              <w:t>Repayment of loans from Group companies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35,845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(35,845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pPr>
            <w:r>
              <w:rPr/>
              <w:t>Receipts from repayment of advances by Group companies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44,574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(44,574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283"/>
              <w:jc w:val="left"/>
              <w:rPr/>
            </w:pPr>
            <w:r>
              <w:rPr/>
              <w:t>Other investing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(14,600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(102,291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(174,058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pPr>
            <w:r>
              <w:rPr/>
              <w:t>(290,949</w:t>
            </w:r>
          </w:p>
        </w:tc>
        <w:tc>
          <w:tcPr>
            <w:tcW w:w="110" w:type="dxa"/>
            <w:tcBorders/>
            <w:shd w:fill="CCEEFF" w:val="clear"/>
            <w:vAlign w:val="center"/>
          </w:tcPr>
          <w:p>
            <w:pPr>
              <w:pStyle w:val="TableContents"/>
              <w:bidi w:val="0"/>
              <w:spacing w:before="0" w:after="283"/>
              <w:jc w:val="left"/>
              <w:rPr/>
            </w:pPr>
            <w:r>
              <w:rPr/>
              <w:t>)</w:t>
            </w:r>
          </w:p>
        </w:tc>
      </w:tr>
      <w:tr>
        <w:trPr/>
        <w:tc>
          <w:tcPr>
            <w:tcW w:w="3735" w:type="dxa"/>
            <w:tcBorders/>
            <w:shd w:fill="FFFFFF" w:val="clear"/>
            <w:vAlign w:val="center"/>
          </w:tcPr>
          <w:p>
            <w:pPr>
              <w:pStyle w:val="TableContents"/>
              <w:bidi w:val="0"/>
              <w:spacing w:before="0" w:after="283"/>
              <w:jc w:val="left"/>
              <w:rPr/>
            </w:pPr>
            <w:r>
              <w:rPr/>
              <w:t>Net cash provided by/(used in) continuing investing activities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pPr>
            <w:r>
              <w:rPr/>
              <w:t>21,245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(57,717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(174,058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(80,419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pPr>
            <w:r>
              <w:rPr/>
              <w:t>(290,949</w:t>
            </w:r>
          </w:p>
        </w:tc>
        <w:tc>
          <w:tcPr>
            <w:tcW w:w="110" w:type="dxa"/>
            <w:tcBorders/>
            <w:shd w:fill="FFFFFF" w:val="clear"/>
            <w:vAlign w:val="center"/>
          </w:tcPr>
          <w:p>
            <w:pPr>
              <w:pStyle w:val="TableContents"/>
              <w:bidi w:val="0"/>
              <w:spacing w:before="0" w:after="283"/>
              <w:jc w:val="left"/>
              <w:rPr/>
            </w:pPr>
            <w:r>
              <w:rPr/>
              <w:t>)</w:t>
            </w:r>
          </w:p>
        </w:tc>
      </w:tr>
      <w:tr>
        <w:trPr/>
        <w:tc>
          <w:tcPr>
            <w:tcW w:w="3735" w:type="dxa"/>
            <w:tcBorders/>
            <w:shd w:fill="CCEEFF" w:val="clear"/>
            <w:vAlign w:val="center"/>
          </w:tcPr>
          <w:p>
            <w:pPr>
              <w:pStyle w:val="TableContents"/>
              <w:bidi w:val="0"/>
              <w:spacing w:before="0" w:after="283"/>
              <w:jc w:val="left"/>
              <w:rPr/>
            </w:pPr>
            <w:r>
              <w:rPr/>
              <w:t>Net cash provided by discontinued investing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108,889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(16,866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pPr>
            <w:r>
              <w:rPr/>
              <w:t>92,023</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b/>
              </w:rPr>
            </w:pPr>
            <w:r>
              <w:rPr>
                <w:b/>
              </w:rPr>
              <w:t>Net cash provided by/(used in) investing activities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21,245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(57,717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(65,169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(97,285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(198,926</w:t>
            </w:r>
          </w:p>
        </w:tc>
        <w:tc>
          <w:tcPr>
            <w:tcW w:w="110" w:type="dxa"/>
            <w:tcBorders/>
            <w:shd w:fill="FFFFFF" w:val="clear"/>
            <w:vAlign w:val="center"/>
          </w:tcPr>
          <w:p>
            <w:pPr>
              <w:pStyle w:val="TableContents"/>
              <w:bidi w:val="0"/>
              <w:spacing w:before="0" w:after="283"/>
              <w:jc w:val="left"/>
              <w:rPr>
                <w:b/>
              </w:rPr>
            </w:pPr>
            <w:r>
              <w:rPr>
                <w:b/>
              </w:rPr>
              <w:t>)</w:t>
            </w:r>
          </w:p>
        </w:tc>
      </w:tr>
      <w:tr>
        <w:trPr/>
        <w:tc>
          <w:tcPr>
            <w:tcW w:w="3735" w:type="dxa"/>
            <w:tcBorders/>
            <w:shd w:fill="CCEEFF" w:val="clear"/>
            <w:vAlign w:val="center"/>
          </w:tcPr>
          <w:p>
            <w:pPr>
              <w:pStyle w:val="TableContents"/>
              <w:bidi w:val="0"/>
              <w:spacing w:before="0" w:after="283"/>
              <w:jc w:val="left"/>
              <w:rPr/>
            </w:pPr>
            <w:r>
              <w:rPr/>
              <w:t>Repayment for advances from Group companies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(44,574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44,574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pPr>
            <w:r>
              <w:rPr/>
              <w:t>Repayment for loans from Group companies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(35,845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35,845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283"/>
              <w:jc w:val="left"/>
              <w:rPr/>
            </w:pPr>
            <w:r>
              <w:rPr/>
              <w:t>Borrowings under loans from Group companies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(16,866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16,866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pPr>
            <w:r>
              <w:rPr/>
              <w:t>Other financing activities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pPr>
            <w:r>
              <w:rPr/>
              <w:t>(6,421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22,078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pPr>
            <w:r>
              <w:rPr/>
              <w:t>15,657</w:t>
            </w:r>
          </w:p>
        </w:tc>
        <w:tc>
          <w:tcPr>
            <w:tcW w:w="110" w:type="dxa"/>
            <w:tcBorders/>
            <w:shd w:fill="FFFFFF" w:val="clear"/>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283"/>
              <w:jc w:val="left"/>
              <w:rPr/>
            </w:pPr>
            <w:r>
              <w:rPr/>
              <w:t>Net cash provided by/(used in) continuing financing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(6,421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(30,633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(44,574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97,285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pPr>
            <w:r>
              <w:rPr/>
              <w:t>15,657</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pPr>
            <w:r>
              <w:rPr/>
              <w:t>Net cash provided by discontinued financing activities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100,000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pPr>
            <w:r>
              <w:rPr/>
              <w:t>100,000</w:t>
            </w:r>
          </w:p>
        </w:tc>
        <w:tc>
          <w:tcPr>
            <w:tcW w:w="110" w:type="dxa"/>
            <w:tcBorders/>
            <w:shd w:fill="FFFFFF" w:val="clear"/>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cash (used in)/provided by financing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activities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(6,421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(30,633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55,426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97,285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115,657</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pPr>
            <w:r>
              <w:rPr/>
              <w:t>Effect of exchanges rates on cash and cash equivalents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1,122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7,639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882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9,643</w:t>
            </w:r>
          </w:p>
        </w:tc>
        <w:tc>
          <w:tcPr>
            <w:tcW w:w="110" w:type="dxa"/>
            <w:tcBorders/>
            <w:shd w:fill="FFFFFF" w:val="clear"/>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283"/>
              <w:jc w:val="left"/>
              <w:rPr/>
            </w:pPr>
            <w:r>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(77,432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(125,442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26,020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(176,854</w:t>
            </w:r>
          </w:p>
        </w:tc>
        <w:tc>
          <w:tcPr>
            <w:tcW w:w="110" w:type="dxa"/>
            <w:tcBorders/>
            <w:shd w:fill="CCEEFF" w:val="clear"/>
            <w:vAlign w:val="center"/>
          </w:tcPr>
          <w:p>
            <w:pPr>
              <w:pStyle w:val="TableContents"/>
              <w:bidi w:val="0"/>
              <w:spacing w:before="0" w:after="283"/>
              <w:jc w:val="left"/>
              <w:rPr/>
            </w:pPr>
            <w:r>
              <w:rPr/>
              <w:t>)</w:t>
            </w:r>
          </w:p>
        </w:tc>
      </w:tr>
      <w:tr>
        <w:trPr/>
        <w:tc>
          <w:tcPr>
            <w:tcW w:w="3735" w:type="dxa"/>
            <w:tcBorders/>
            <w:shd w:fill="FFFFFF" w:val="clear"/>
            <w:vAlign w:val="center"/>
          </w:tcPr>
          <w:p>
            <w:pPr>
              <w:pStyle w:val="TableContents"/>
              <w:bidi w:val="0"/>
              <w:spacing w:before="0" w:after="283"/>
              <w:jc w:val="left"/>
              <w:rPr/>
            </w:pPr>
            <w:r>
              <w:rPr/>
              <w:t>Cash and cash equivalents and restricted cash at beginning of year</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pPr>
            <w:r>
              <w:rPr/>
              <w:t>90,775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337,398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385,036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pPr>
            <w:r>
              <w:rPr/>
              <w:t>813,209</w:t>
            </w:r>
          </w:p>
        </w:tc>
        <w:tc>
          <w:tcPr>
            <w:tcW w:w="110" w:type="dxa"/>
            <w:tcBorders/>
            <w:shd w:fill="FFFFFF" w:val="clear"/>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283"/>
              <w:jc w:val="left"/>
              <w:rPr>
                <w:b/>
              </w:rPr>
            </w:pPr>
            <w:r>
              <w:rPr>
                <w:b/>
              </w:rPr>
              <w:t>Cash and cash equivalents and restricted cash at end of year</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211,956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411,056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636,355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Notes:</w:t>
      </w:r>
    </w:p>
    <w:tbl>
      <w:tblPr>
        <w:tblW w:w="4420" w:type="dxa"/>
        <w:jc w:val="left"/>
        <w:tblInd w:w="0" w:type="dxa"/>
        <w:tblLayout w:type="fixed"/>
        <w:tblCellMar>
          <w:top w:w="0" w:type="dxa"/>
          <w:left w:w="0" w:type="dxa"/>
          <w:bottom w:w="0" w:type="dxa"/>
          <w:right w:w="0" w:type="dxa"/>
        </w:tblCellMar>
      </w:tblPr>
      <w:tblGrid>
        <w:gridCol w:w="260"/>
        <w:gridCol w:w="416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within our group in operating activities</w:t>
            </w:r>
          </w:p>
        </w:tc>
      </w:tr>
    </w:tbl>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7196"/>
        <w:gridCol w:w="60"/>
        <w:gridCol w:w="103"/>
        <w:gridCol w:w="423"/>
        <w:gridCol w:w="81"/>
        <w:gridCol w:w="81"/>
        <w:gridCol w:w="81"/>
        <w:gridCol w:w="1093"/>
        <w:gridCol w:w="81"/>
        <w:gridCol w:w="81"/>
        <w:gridCol w:w="81"/>
        <w:gridCol w:w="765"/>
        <w:gridCol w:w="79"/>
      </w:tblGrid>
      <w:tr>
        <w:trPr/>
        <w:tc>
          <w:tcPr>
            <w:tcW w:w="71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7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9" w:type="dxa"/>
            <w:tcBorders/>
            <w:vAlign w:val="center"/>
          </w:tcPr>
          <w:p>
            <w:pPr>
              <w:pStyle w:val="TableContents"/>
              <w:bidi w:val="0"/>
              <w:spacing w:before="0" w:after="283"/>
              <w:jc w:val="left"/>
              <w:rPr/>
            </w:pPr>
            <w:r>
              <w:rPr/>
              <w:t> </w:t>
            </w:r>
          </w:p>
        </w:tc>
      </w:tr>
      <w:tr>
        <w:trPr/>
        <w:tc>
          <w:tcPr>
            <w:tcW w:w="71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9" w:type="dxa"/>
            <w:tcBorders/>
            <w:vAlign w:val="center"/>
          </w:tcPr>
          <w:p>
            <w:pPr>
              <w:pStyle w:val="TableContents"/>
              <w:bidi w:val="0"/>
              <w:spacing w:before="0" w:after="283"/>
              <w:jc w:val="left"/>
              <w:rPr/>
            </w:pPr>
            <w:r>
              <w:rPr/>
              <w:t> </w:t>
            </w:r>
          </w:p>
        </w:tc>
      </w:tr>
      <w:tr>
        <w:trPr/>
        <w:tc>
          <w:tcPr>
            <w:tcW w:w="71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70" w:type="dxa"/>
            <w:gridSpan w:val="10"/>
            <w:tcBorders/>
            <w:vAlign w:val="center"/>
          </w:tcPr>
          <w:p>
            <w:pPr>
              <w:pStyle w:val="TableContents"/>
              <w:bidi w:val="0"/>
              <w:spacing w:before="0" w:after="283"/>
              <w:jc w:val="center"/>
              <w:rPr>
                <w:b/>
              </w:rPr>
            </w:pPr>
            <w:r>
              <w:rPr>
                <w:b/>
              </w:rPr>
              <w:t>(RMB in thousands)</w:t>
            </w:r>
          </w:p>
        </w:tc>
        <w:tc>
          <w:tcPr>
            <w:tcW w:w="79" w:type="dxa"/>
            <w:tcBorders/>
            <w:vAlign w:val="center"/>
          </w:tcPr>
          <w:p>
            <w:pPr>
              <w:pStyle w:val="TableContents"/>
              <w:bidi w:val="0"/>
              <w:spacing w:before="0" w:after="283"/>
              <w:jc w:val="left"/>
              <w:rPr/>
            </w:pPr>
            <w:r>
              <w:rPr/>
              <w:t> </w:t>
            </w:r>
          </w:p>
        </w:tc>
      </w:tr>
      <w:tr>
        <w:trPr/>
        <w:tc>
          <w:tcPr>
            <w:tcW w:w="7196" w:type="dxa"/>
            <w:tcBorders/>
            <w:shd w:fill="CCEEFF" w:val="clear"/>
            <w:vAlign w:val="center"/>
          </w:tcPr>
          <w:p>
            <w:pPr>
              <w:pStyle w:val="TableContents"/>
              <w:bidi w:val="0"/>
              <w:spacing w:before="0" w:after="283"/>
              <w:jc w:val="left"/>
              <w:rPr/>
            </w:pPr>
            <w:r>
              <w:rPr/>
              <w:t>Cash paid by VIEs to equity subsidiaries and primary beneficiaries of VIEs and their subsidiaries for purchasing of goods and service</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588,081</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11</w:t>
            </w:r>
          </w:p>
        </w:tc>
        <w:tc>
          <w:tcPr>
            <w:tcW w:w="79" w:type="dxa"/>
            <w:tcBorders/>
            <w:shd w:fill="CCEEFF" w:val="clear"/>
            <w:vAlign w:val="center"/>
          </w:tcPr>
          <w:p>
            <w:pPr>
              <w:pStyle w:val="TableContents"/>
              <w:bidi w:val="0"/>
              <w:spacing w:before="0" w:after="283"/>
              <w:jc w:val="left"/>
              <w:rPr/>
            </w:pPr>
            <w:r>
              <w:rPr/>
              <w:t> </w:t>
            </w:r>
          </w:p>
        </w:tc>
      </w:tr>
      <w:tr>
        <w:trPr/>
        <w:tc>
          <w:tcPr>
            <w:tcW w:w="7196" w:type="dxa"/>
            <w:tcBorders/>
            <w:shd w:fill="FFFFFF" w:val="clear"/>
            <w:vAlign w:val="center"/>
          </w:tcPr>
          <w:p>
            <w:pPr>
              <w:pStyle w:val="TableContents"/>
              <w:bidi w:val="0"/>
              <w:spacing w:before="0" w:after="283"/>
              <w:jc w:val="left"/>
              <w:rPr/>
            </w:pPr>
            <w:r>
              <w:rPr/>
              <w:t>Cash received by VIEs from equity subsidiaries and primary beneficiaries of VIEs and their subsidiaries for rendering of goods and service</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102,924</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1,528</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7" w:color="000000"/>
        </w:rPr>
      </w:pPr>
      <w:r>
        <w:rPr>
          <w:rFonts w:ascii="Times New Roman;Times;Serif" w:hAnsi="Times New Roman;Times;Serif"/>
          <w:b/>
          <w:i w:val="false"/>
          <w:caps w:val="false"/>
          <w:smallCaps w:val="false"/>
          <w:sz w:val="20"/>
          <w:bdr w:val="single" w:sz="8" w:space="7" w:color="000000"/>
        </w:rPr>
        <w:t>Summary of Risk Factors</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Investing in our securities involves significant risks. You should carefully consider all of the information in this prospectus before making an investment in our securities. Below please find a summary of the principal risks we and the VIEs face, organized under relevant headings. These risks are discussed more fully in “Item 3. Key Information — D. Risk Factors” in our 2025 Form 20-F, which is incorporated herein by reference.</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7" w:color="000000"/>
        </w:rPr>
      </w:pPr>
      <w:r>
        <w:rPr>
          <w:rFonts w:ascii="Times New Roman;Times;Serif" w:hAnsi="Times New Roman;Times;Serif"/>
          <w:b/>
          <w:i/>
          <w:caps w:val="false"/>
          <w:smallCaps w:val="false"/>
          <w:sz w:val="20"/>
          <w:bdr w:val="single" w:sz="8" w:space="7" w:color="000000"/>
        </w:rPr>
        <w:t>Risks Relating to Our Business and Industry</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Xiaomi is our strategic partner and our most important customer. A significant portion of our revenue derive from sales to Xiaomi. Changes in our relationship with Xiaomi could have a material adverse effect on our operating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highly competitive markets, and the scale and resources of some of our competitors may allow them to compete more effectively than we can, which could result in a loss of our market share and a decrease in our net revenues and profitability;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effectively manage our growth and the increased complexity of our business, which could negatively impact our brand and financial performance;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on our ability to promote our brand and protect our reputation. Our failure to establish and promote our brand and any damage to our reputation will hinder our growth;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engage in acquisition and investment activities, which could require significant management attention, disrupt our business, dilute shareholder value, and adversely affect our operating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successfully develop and commercialize new products, services and technologies that are well received by consumers in a timely manner, our operating results may be materially and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expansion into new product categories and scenarios and substantial increases in product lines may expose us to new challenges and more risks;</w:t>
            </w:r>
          </w:p>
        </w:tc>
      </w:tr>
    </w:tbl>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the emerging and evolving home water solutions market in China, which may develop more slowly or differently than we expect. If the home water solutions market does not grow as we expect, or if we cannot expand our products and services to meet consumer demands, our results of operations may be materially and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user engagement ceases to grow or declines, our business and operating results may be materially and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complex and evolving Chinese and international laws and regulations, including those regarding data privacy and cybersecurity, many of which are subject to change and uncertain interpretation. Any changes in these laws could cause changes to our business practices and increased cost of operations, and any security breaches and our actual or perceived failure to comply with such laws could result in claims, penalties, damages to our reputation and brand, declines in user growth or engagement or otherwise harm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susceptible to supply shortages and interruptions, long lead times, and price fluctuations for raw materials and components, any of which could disrupt our supply chain and have a material adverse impact on our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certain contract manufacturers to produce some of our products. If we encounter issues with them, our business and results of operations could be materially and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may be adversely impacted by product defects or other quality issues;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limited number of third-party e-commerce platforms to sell our products online. If our cooperation with such platforms terminates, deteriorates or becomes more costly, our business and results of operations may be materially and adversely affected;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associated with our network partners and their personnel for our network of Viomi offline stores.</w:t>
            </w:r>
          </w:p>
        </w:tc>
      </w:tr>
    </w:tbl>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7" w:color="000000"/>
        </w:rPr>
      </w:pPr>
      <w:r>
        <w:rPr>
          <w:rFonts w:ascii="Times New Roman;Times;Serif" w:hAnsi="Times New Roman;Times;Serif"/>
          <w:b/>
          <w:i/>
          <w:caps w:val="false"/>
          <w:smallCaps w:val="false"/>
          <w:sz w:val="20"/>
          <w:bdr w:val="single" w:sz="8" w:space="7" w:color="000000"/>
        </w:rPr>
        <w:t>Risks Related to Our Corporate Structure</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holding company with no equity ownership in the VIEs and we conduct operations in China through (i) our PRC subsidiaries and (ii) the VIEs, with which we have maintained contractual arrangements. Investors in our ADSs thus are not purchasing equity interest in the VIEs in China but instead are purchasing equity interest in a Cayman Islands holding company. If the PRC government finds that the agreements that establish the structure for operating our business do not comply with PRC laws and regulations, or if these regulations or their interpretations change in the future, we and the VIEs could be subject to severe penalties or be forced to relinquish our and the VIEs’ interests in those operations. Our holding company, our PRC subsidiaries, the VIEs,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whole. The PRC regulatory authorities could disallow the VIE structure, which would likely result in a material adverse change in our and the VIEs’ operations, and our Class A ordinary shares or our ADSs may decline significantly in value;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contractual arrangements with the VIEs and their respective shareholders for substantially all of our business operation, which may not be as effective as direct ownership in providing operational control;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by the VIEs or their shareholders to perform their obligations under our contractual arrangements with them would have an adverse effect on our business, financial condition and results of operations.</w:t>
            </w:r>
          </w:p>
        </w:tc>
      </w:tr>
    </w:tbl>
    <w:p>
      <w:pPr>
        <w:pStyle w:val="TextBody"/>
        <w:bidi w:val="0"/>
        <w:spacing w:before="0" w:after="0"/>
        <w:ind w:left="1440" w:right="0" w:hanging="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7" w:color="000000"/>
        </w:rPr>
      </w:pPr>
      <w:r>
        <w:rPr>
          <w:rFonts w:ascii="Times New Roman;Times;Serif" w:hAnsi="Times New Roman;Times;Serif"/>
          <w:b/>
          <w:i/>
          <w:caps w:val="false"/>
          <w:smallCaps w:val="false"/>
          <w:sz w:val="20"/>
          <w:bdr w:val="single" w:sz="8" w:space="7" w:color="000000"/>
        </w:rPr>
        <w:t>Risks Related to Doing Business in China</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PCAOB had historically been unable to inspect our auditor in relation to their audit work performed for our consolidated financial statements and the inability of the PCAOB to conduct inspections over our auditor in the past has deprived our investors with the benefits of such inspections;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government’s significant oversight and discretion over our business operation could result in a material adverse change in our operations and the value of our ADSs;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China’s economic, political or social conditions or government policies could have a material adverse effect on our business and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respond to changes in the regulatory environment in China could adversely affect us;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and filing with the CSRC or other PRC government authorities may be required if we were to conduct offshore offerings in the future, and, if required, we cannot predict whether or for how long we will be able to obtain such approval or complete such filing.</w:t>
            </w:r>
          </w:p>
        </w:tc>
      </w:tr>
    </w:tbl>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7" w:color="000000"/>
        </w:rPr>
      </w:pPr>
      <w:r>
        <w:rPr>
          <w:rFonts w:ascii="Times New Roman;Times;Serif" w:hAnsi="Times New Roman;Times;Serif"/>
          <w:b/>
          <w:i/>
          <w:caps w:val="false"/>
          <w:smallCaps w:val="false"/>
          <w:sz w:val="20"/>
          <w:bdr w:val="single" w:sz="8" w:space="7" w:color="000000"/>
        </w:rPr>
        <w:t>Risks Relating to Our Securities and This Offering</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the ADSs is likely to be volatile, which could result in substantial losses to investors;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dual-class share structure with different voting rights will limit your ability to influence corporate matters (and in certain situations, give certain holders of Class B ordinary shares control over the outcome of matters put to a vote of shareholders) and could discourage others from pursuing any change of control transactions that holders of our Class A ordinary shares and ADSs may view as beneficial;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market for our securities may not develop or be sustained, which would adversely affect the liquidity and price of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securities will result in additional dilution of the percentage ownership of our shareholders and could cause our share price to fall.</w:t>
            </w:r>
          </w:p>
        </w:tc>
      </w:tr>
    </w:tbl>
    <w:p>
      <w:pPr>
        <w:pStyle w:val="TextBody"/>
        <w:bidi w:val="0"/>
        <w:spacing w:before="0" w:after="0"/>
        <w:ind w:left="1440" w:right="0" w:hanging="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7" w:color="000000"/>
        </w:rPr>
      </w:pPr>
      <w:r>
        <w:rPr>
          <w:rFonts w:ascii="Times New Roman;Times;Serif" w:hAnsi="Times New Roman;Times;Serif"/>
          <w:b/>
          <w:i w:val="false"/>
          <w:caps w:val="false"/>
          <w:smallCaps w:val="false"/>
          <w:sz w:val="20"/>
          <w:bdr w:val="single" w:sz="8" w:space="7" w:color="000000"/>
        </w:rPr>
        <w:t>Corporate Information</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 xml:space="preserve">Our principal executive offices are located at Wansheng Square, Rm 1302 Tower C, Xingang East Road, Haizhu District, Guangzhou, Guangdong, 510220, People’s Republic of China, and our phone number is +86 20 8930 9496. Our registered office in the Cayman Islands is located at the offices of Maples Corporate Services Limited at PO Box 309, Ugland House, Grand Cayman, KY1-1104, Cayman Islands. Our corporate website address is </w:t>
      </w:r>
      <w:r>
        <w:rPr>
          <w:rFonts w:ascii="Times New Roman;Times;Serif" w:hAnsi="Times New Roman;Times;Serif"/>
          <w:b w:val="false"/>
          <w:i/>
          <w:caps w:val="false"/>
          <w:smallCaps w:val="false"/>
          <w:sz w:val="20"/>
          <w:bdr w:val="single" w:sz="8" w:space="7" w:color="000000"/>
        </w:rPr>
        <w:t>https://viomi.com/</w:t>
      </w:r>
      <w:r>
        <w:rPr>
          <w:rFonts w:ascii="Times New Roman;Times;Serif" w:hAnsi="Times New Roman;Times;Serif"/>
          <w:b w:val="false"/>
          <w:i w:val="false"/>
          <w:caps w:val="false"/>
          <w:smallCaps w:val="false"/>
          <w:sz w:val="20"/>
          <w:bdr w:val="single" w:sz="8" w:space="7" w:color="000000"/>
        </w:rPr>
        <w:t xml:space="preserve">. The information contained in, or accessible through, our website does not constitute a part of this prospectus. The SEC maintains an internet site that contains reports, proxy and information statements, and other information regarding issuers, such as we, that file electronically, with the SEC at </w:t>
      </w:r>
      <w:r>
        <w:rPr>
          <w:rFonts w:ascii="Times New Roman;Times;Serif" w:hAnsi="Times New Roman;Times;Serif"/>
          <w:b w:val="false"/>
          <w:i/>
          <w:caps w:val="false"/>
          <w:smallCaps w:val="false"/>
          <w:sz w:val="20"/>
          <w:bdr w:val="single" w:sz="8" w:space="7" w:color="000000"/>
        </w:rPr>
        <w:t>www.sec.gov</w:t>
      </w:r>
      <w:r>
        <w:rPr>
          <w:rFonts w:ascii="Times New Roman;Times;Serif" w:hAnsi="Times New Roman;Times;Serif"/>
          <w:b w:val="false"/>
          <w:i w:val="false"/>
          <w:caps w:val="false"/>
          <w:smallCaps w:val="false"/>
          <w:sz w:val="20"/>
          <w:bdr w:val="single" w:sz="8" w:space="7" w:color="000000"/>
        </w:rPr>
        <w:t>. Our agent for service of process in the United States is Puglisi &amp; Associates, located at 850 Library Avenue, Suite 204, Newark, Delaware 19711.</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5" w:name="JG_004"/>
      <w:bookmarkEnd w:id="5"/>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 Before you decide to buy our securities, you should carefully consider the risks described under “Item 3. Key Information—D. Risk Factors” in our 2025 Form 20-F, which is incorporated herein by reference, as well as the risks that are described in the applicable prospectus supplement and in other documents incorporated by reference into this prospectus. If any of these risks actually occurs, our business, financial condition and results of operations could suffer, and you may lose all or part of your investment. Additionally, the risks and uncertainties incorporated by reference or included in this prospectus or any accompanying prospectus supplement are not the only risks and uncertainties that we face. Additional risks and uncertainties not presently known to us or that we currently believe to be immaterial may become material and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“Where You Can Find More Information” and “Incorporation of Certain Documents by Reference” for information on where you can find the documents we have filed with or furnished to the SEC and which are incorporated into this prospectus by reference.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6" w:name="JG_005"/>
      <w:bookmarkEnd w:id="6"/>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the securities we offer as set forth in the applicable prospectus supplement(s).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7" w:name="JG_006"/>
      <w:bookmarkEnd w:id="7"/>
      <w:r>
        <w:rPr>
          <w:rFonts w:ascii="Times New Roman;Times;Serif" w:hAnsi="Times New Roman;Times;Serif"/>
          <w:b/>
          <w:i w:val="false"/>
          <w:caps/>
          <w:sz w:val="20"/>
        </w:rPr>
        <w:t>CAPITALIZATION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and cash equivalents and capitalization as of December 31, 2025 on a historical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should be read in conjunction with, and is qualified in its entirety by reference to, our audited consolidated financial statements and the notes thereto in our 2025 Form 20-F, which is incorporated by reference into this prospectus. Our historical results do not necessarily indicate our expected results for any future periods.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56"/>
        <w:gridCol w:w="60"/>
        <w:gridCol w:w="89"/>
        <w:gridCol w:w="1342"/>
        <w:gridCol w:w="104"/>
        <w:gridCol w:w="65"/>
        <w:gridCol w:w="95"/>
        <w:gridCol w:w="1279"/>
        <w:gridCol w:w="115"/>
      </w:tblGrid>
      <w:tr>
        <w:trPr/>
        <w:tc>
          <w:tcPr>
            <w:tcW w:w="70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December 31, 2025</w:t>
            </w:r>
          </w:p>
        </w:tc>
        <w:tc>
          <w:tcPr>
            <w:tcW w:w="115" w:type="dxa"/>
            <w:tcBorders/>
            <w:vAlign w:val="center"/>
          </w:tcPr>
          <w:p>
            <w:pPr>
              <w:pStyle w:val="TableContents"/>
              <w:bidi w:val="0"/>
              <w:spacing w:before="0" w:after="283"/>
              <w:jc w:val="left"/>
              <w:rPr/>
            </w:pPr>
            <w:r>
              <w:rPr/>
              <w:t> </w:t>
            </w:r>
          </w:p>
        </w:tc>
      </w:tr>
      <w:tr>
        <w:trPr/>
        <w:tc>
          <w:tcPr>
            <w:tcW w:w="70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 in thousands</w:t>
            </w:r>
          </w:p>
        </w:tc>
        <w:tc>
          <w:tcPr>
            <w:tcW w:w="104"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 in thousands</w:t>
            </w:r>
          </w:p>
        </w:tc>
        <w:tc>
          <w:tcPr>
            <w:tcW w:w="115" w:type="dxa"/>
            <w:tcBorders/>
            <w:vAlign w:val="center"/>
          </w:tcPr>
          <w:p>
            <w:pPr>
              <w:pStyle w:val="TableContents"/>
              <w:bidi w:val="0"/>
              <w:spacing w:before="0" w:after="283"/>
              <w:jc w:val="left"/>
              <w:rPr/>
            </w:pPr>
            <w:r>
              <w:rPr/>
              <w:t> </w:t>
            </w:r>
          </w:p>
        </w:tc>
      </w:tr>
      <w:tr>
        <w:trPr/>
        <w:tc>
          <w:tcPr>
            <w:tcW w:w="7056" w:type="dxa"/>
            <w:tcBorders/>
            <w:shd w:fill="CCEEFF" w:val="clear"/>
            <w:vAlign w:val="center"/>
          </w:tcPr>
          <w:p>
            <w:pPr>
              <w:pStyle w:val="TableContents"/>
              <w:bidi w:val="0"/>
              <w:spacing w:before="0" w:after="283"/>
              <w:jc w:val="left"/>
              <w:rPr>
                <w:b/>
              </w:rPr>
            </w:pPr>
            <w:r>
              <w:rPr>
                <w:b/>
              </w:rPr>
              <w:t>Cash and restricted cash</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971,030</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138,855</w:t>
            </w:r>
          </w:p>
        </w:tc>
        <w:tc>
          <w:tcPr>
            <w:tcW w:w="115" w:type="dxa"/>
            <w:tcBorders/>
            <w:shd w:fill="CCEEFF" w:val="cle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b/>
              </w:rPr>
            </w:pPr>
            <w:r>
              <w:rPr>
                <w:b/>
              </w:rPr>
              <w:t>Long-term borrowings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b/>
              </w:rPr>
            </w:pPr>
            <w:r>
              <w:rPr>
                <w:b/>
              </w:rPr>
              <w:t>51,666</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b/>
              </w:rPr>
            </w:pPr>
            <w:r>
              <w:rPr>
                <w:b/>
              </w:rPr>
              <w:t>7,388</w:t>
            </w:r>
          </w:p>
        </w:tc>
        <w:tc>
          <w:tcPr>
            <w:tcW w:w="115" w:type="dxa"/>
            <w:tcBorders/>
            <w:shd w:fill="FFFFFF" w:val="clear"/>
            <w:vAlign w:val="center"/>
          </w:tcPr>
          <w:p>
            <w:pPr>
              <w:pStyle w:val="TableContents"/>
              <w:bidi w:val="0"/>
              <w:spacing w:before="0" w:after="283"/>
              <w:jc w:val="left"/>
              <w:rPr/>
            </w:pPr>
            <w:r>
              <w:rPr/>
              <w:t> </w:t>
            </w:r>
          </w:p>
        </w:tc>
      </w:tr>
      <w:tr>
        <w:trPr/>
        <w:tc>
          <w:tcPr>
            <w:tcW w:w="7056"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pPr>
            <w:r>
              <w:rPr/>
              <w:t>Class A Ordinary Shares (US$0.00001 par value; 4,800,000,000 shares authorized; 99,200,641 shares issued and outstanding as of December 31, 2025)</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pPr>
            <w:r>
              <w:rPr/>
              <w:t>6</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pPr>
            <w:r>
              <w:rPr/>
              <w:t>1</w:t>
            </w:r>
          </w:p>
        </w:tc>
        <w:tc>
          <w:tcPr>
            <w:tcW w:w="115" w:type="dxa"/>
            <w:tcBorders/>
            <w:shd w:fill="FFFFFF" w:val="clear"/>
            <w:vAlign w:val="center"/>
          </w:tcPr>
          <w:p>
            <w:pPr>
              <w:pStyle w:val="TableContents"/>
              <w:bidi w:val="0"/>
              <w:spacing w:before="0" w:after="283"/>
              <w:jc w:val="left"/>
              <w:rPr/>
            </w:pPr>
            <w:r>
              <w:rPr/>
              <w:t> </w:t>
            </w:r>
          </w:p>
        </w:tc>
      </w:tr>
      <w:tr>
        <w:trPr/>
        <w:tc>
          <w:tcPr>
            <w:tcW w:w="7056" w:type="dxa"/>
            <w:tcBorders/>
            <w:shd w:fill="CCEEFF" w:val="clear"/>
            <w:vAlign w:val="center"/>
          </w:tcPr>
          <w:p>
            <w:pPr>
              <w:pStyle w:val="TableContents"/>
              <w:bidi w:val="0"/>
              <w:spacing w:before="0" w:after="283"/>
              <w:jc w:val="left"/>
              <w:rPr/>
            </w:pPr>
            <w:r>
              <w:rPr/>
              <w:t>Class B Ordinary Shares (US$0.00001 par value; 150,000,000 shares authorized; 102,764,548 shares issued and outstanding as of December 31,2025)</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6</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1</w:t>
            </w:r>
          </w:p>
        </w:tc>
        <w:tc>
          <w:tcPr>
            <w:tcW w:w="115" w:type="dxa"/>
            <w:tcBorders/>
            <w:shd w:fill="CCEEFF" w:val="cle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pPr>
            <w:r>
              <w:rPr/>
              <w:t>Treasury stock</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pPr>
            <w:r>
              <w:rPr/>
              <w:t>(103,085</w:t>
            </w:r>
          </w:p>
        </w:tc>
        <w:tc>
          <w:tcPr>
            <w:tcW w:w="104"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pPr>
            <w:r>
              <w:rPr/>
              <w:t>(14,741</w:t>
            </w:r>
          </w:p>
        </w:tc>
        <w:tc>
          <w:tcPr>
            <w:tcW w:w="115" w:type="dxa"/>
            <w:tcBorders/>
            <w:shd w:fill="FFFFFF" w:val="clear"/>
            <w:vAlign w:val="center"/>
          </w:tcPr>
          <w:p>
            <w:pPr>
              <w:pStyle w:val="TableContents"/>
              <w:bidi w:val="0"/>
              <w:spacing w:before="0" w:after="283"/>
              <w:jc w:val="left"/>
              <w:rPr/>
            </w:pPr>
            <w:r>
              <w:rPr/>
              <w:t>)</w:t>
            </w:r>
          </w:p>
        </w:tc>
      </w:tr>
      <w:tr>
        <w:trPr/>
        <w:tc>
          <w:tcPr>
            <w:tcW w:w="7056"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1,414,499</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202,271</w:t>
            </w:r>
          </w:p>
        </w:tc>
        <w:tc>
          <w:tcPr>
            <w:tcW w:w="115" w:type="dxa"/>
            <w:tcBorders/>
            <w:shd w:fill="CCEEFF" w:val="cle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pPr>
            <w:r>
              <w:rPr/>
              <w:t>226,317</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pPr>
            <w:r>
              <w:rPr/>
              <w:t>32,363</w:t>
            </w:r>
          </w:p>
        </w:tc>
        <w:tc>
          <w:tcPr>
            <w:tcW w:w="115" w:type="dxa"/>
            <w:tcBorders/>
            <w:shd w:fill="FFFFFF" w:val="clear"/>
            <w:vAlign w:val="center"/>
          </w:tcPr>
          <w:p>
            <w:pPr>
              <w:pStyle w:val="TableContents"/>
              <w:bidi w:val="0"/>
              <w:spacing w:before="0" w:after="283"/>
              <w:jc w:val="left"/>
              <w:rPr/>
            </w:pPr>
            <w:r>
              <w:rPr/>
              <w:t> </w:t>
            </w:r>
          </w:p>
        </w:tc>
      </w:tr>
      <w:tr>
        <w:trPr/>
        <w:tc>
          <w:tcPr>
            <w:tcW w:w="7056"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(11,080</w:t>
            </w:r>
          </w:p>
        </w:tc>
        <w:tc>
          <w:tcPr>
            <w:tcW w:w="104"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(1,584</w:t>
            </w:r>
          </w:p>
        </w:tc>
        <w:tc>
          <w:tcPr>
            <w:tcW w:w="115" w:type="dxa"/>
            <w:tcBorders/>
            <w:shd w:fill="CCEEFF" w:val="clear"/>
            <w:vAlign w:val="center"/>
          </w:tcPr>
          <w:p>
            <w:pPr>
              <w:pStyle w:val="TableContents"/>
              <w:bidi w:val="0"/>
              <w:spacing w:before="0" w:after="283"/>
              <w:jc w:val="left"/>
              <w:rPr/>
            </w:pPr>
            <w:r>
              <w:rPr/>
              <w:t>)</w:t>
            </w:r>
          </w:p>
        </w:tc>
      </w:tr>
      <w:tr>
        <w:trPr/>
        <w:tc>
          <w:tcPr>
            <w:tcW w:w="7056" w:type="dxa"/>
            <w:tcBorders/>
            <w:shd w:fill="FFFFFF" w:val="clear"/>
            <w:vAlign w:val="center"/>
          </w:tcPr>
          <w:p>
            <w:pPr>
              <w:pStyle w:val="TableContents"/>
              <w:bidi w:val="0"/>
              <w:spacing w:before="0" w:after="283"/>
              <w:jc w:val="left"/>
              <w:rPr>
                <w:b/>
              </w:rPr>
            </w:pPr>
            <w:r>
              <w:rPr>
                <w:b/>
              </w:rPr>
              <w:t>Total equity attributable to shareholders of the Company</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b/>
              </w:rPr>
            </w:pPr>
            <w:r>
              <w:rPr>
                <w:b/>
              </w:rPr>
              <w:t>1,526,663</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b/>
              </w:rPr>
            </w:pPr>
            <w:r>
              <w:rPr>
                <w:b/>
              </w:rPr>
              <w:t>218,311</w:t>
            </w:r>
          </w:p>
        </w:tc>
        <w:tc>
          <w:tcPr>
            <w:tcW w:w="115" w:type="dxa"/>
            <w:tcBorders/>
            <w:shd w:fill="FFFFFF" w:val="clear"/>
            <w:vAlign w:val="center"/>
          </w:tcPr>
          <w:p>
            <w:pPr>
              <w:pStyle w:val="TableContents"/>
              <w:bidi w:val="0"/>
              <w:spacing w:before="0" w:after="283"/>
              <w:jc w:val="left"/>
              <w:rPr/>
            </w:pPr>
            <w:r>
              <w:rPr/>
              <w:t> </w:t>
            </w:r>
          </w:p>
        </w:tc>
      </w:tr>
      <w:tr>
        <w:trPr/>
        <w:tc>
          <w:tcPr>
            <w:tcW w:w="7056"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5,601</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801</w:t>
            </w:r>
          </w:p>
        </w:tc>
        <w:tc>
          <w:tcPr>
            <w:tcW w:w="115" w:type="dxa"/>
            <w:tcBorders/>
            <w:shd w:fill="CCEEFF" w:val="cle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b/>
              </w:rPr>
            </w:pPr>
            <w:r>
              <w:rPr>
                <w:b/>
              </w:rPr>
              <w:t>1,532,264</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b/>
              </w:rPr>
            </w:pPr>
            <w:r>
              <w:rPr>
                <w:b/>
              </w:rPr>
              <w:t>219,112</w:t>
            </w:r>
          </w:p>
        </w:tc>
        <w:tc>
          <w:tcPr>
            <w:tcW w:w="115" w:type="dxa"/>
            <w:tcBorders/>
            <w:shd w:fill="FFFFFF" w:val="clear"/>
            <w:vAlign w:val="center"/>
          </w:tcPr>
          <w:p>
            <w:pPr>
              <w:pStyle w:val="TableContents"/>
              <w:bidi w:val="0"/>
              <w:spacing w:before="0" w:after="283"/>
              <w:jc w:val="left"/>
              <w:rPr/>
            </w:pPr>
            <w:r>
              <w:rPr/>
              <w:t> </w:t>
            </w:r>
          </w:p>
        </w:tc>
      </w:tr>
      <w:tr>
        <w:trPr/>
        <w:tc>
          <w:tcPr>
            <w:tcW w:w="7056" w:type="dxa"/>
            <w:tcBorders/>
            <w:shd w:fill="CCEEFF" w:val="clear"/>
            <w:vAlign w:val="center"/>
          </w:tcPr>
          <w:p>
            <w:pPr>
              <w:pStyle w:val="TableContents"/>
              <w:bidi w:val="0"/>
              <w:spacing w:before="0" w:after="283"/>
              <w:jc w:val="left"/>
              <w:rPr>
                <w:b/>
              </w:rPr>
            </w:pPr>
            <w:r>
              <w:rPr>
                <w:b/>
              </w:rPr>
              <w:t>Total capitalization</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b/>
              </w:rPr>
            </w:pPr>
            <w:r>
              <w:rPr>
                <w:b/>
              </w:rPr>
              <w:t>1,583,930</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b/>
              </w:rPr>
            </w:pPr>
            <w:r>
              <w:rPr>
                <w:b/>
              </w:rPr>
              <w:t>226,500</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JG_007"/>
      <w:bookmarkEnd w:id="8"/>
      <w:r>
        <w:rPr>
          <w:rFonts w:ascii="Times New Roman;Times;Serif" w:hAnsi="Times New Roman;Times;Serif"/>
          <w:b/>
          <w:i w:val="false"/>
          <w:caps/>
          <w:sz w:val="20"/>
        </w:rPr>
        <w:t>DESCRIPTION OF SHARE CAPITAL</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the material terms of our securities includes a summary of specified provisions of our currently effective memorandum and articles of association. This description is qualified by reference to our currently effective memorandum and articles of association. All capitalized terms used in this section are as defined in our memorandum and articles of association, unless elsewhere defined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with limited liability and our affairs are governed by our memorandum and articles of association, as amended from time to time, the Cayman Islands Companies Act, and the common law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is US$50,000 consisting of 5,000,000,000 shares of a par value of US$0.00001 each, consisting of 4,800,000,000 Class A Ordinary Shares, 150,000,000 Class B Ordinary Shares and 50,000,000 shares of a par value of US$0.00001 each of such class or classes (however designated) as our board of directors may determine in accordance with our memorandum and articles of association, as amended from time to time. All Ordinary Shares issued and outstanding as of the date of this prospectus are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our memorandum and articles of association and of the Companies Act of the Cayman Islands insofar as they relate to the material terms of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Objects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memorandum and articles of association, the objects of our company are unrestricted and we have the full power and authority to carry out any object not prohibited by the Cayman Islands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divided into Class A ordinary shares and Class B ordinary shares. Holders of our Class A ordinary shares and Class B ordinary shares will have the same rights except for voting and conversion rights. Our ordinary shares are issued in registered form and are issued when registered in our register of shareholders. We may not issue shares to bearer. Our shareholders who are nonresidents of the Cayman Islands may freely hold and vote their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is convertible into one Class A ordinary share at any time by the holder thereof. Class A ordinary shares are not convertible into Class B ordinary shares under any circumstances. Upon any sale, transfer, assignment or disposition of any Class B ordinary share by Mr. Xiaoping Chen or Viomi Limited to any person who is not Mr. Xiaoping Chen or his affiliate(s), or upon a change of ultimate beneficial ownership of any Class B ordinary share to any person who is not Mr. Xiaoping Chen or his affiliate(s), such Class B ordinary share shall be automatically and immediately converted into one Class A ordinary share. Upon any sale, transfer, assignment or disposition of any Class B ordinary share by a shareholder other than Mr. Xiaoping Chen or his affiliate(s) to any person, such Class B ordinary share shall be automatically and immediately converted into one Class A ordinary share.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ordinary shares are entitled to such dividends as may be declared by our board of directors. In addition, our shareholders may declare dividends by ordinary resolution, but no dividend shall exceed the amount recommended by our directors. Our memorandum and articles of association provide that dividends may be declared and paid out of our profits, realized or unrealized, or from any reserve set aside from funds legally available for distribution.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all matters subject to a shareholders’ vote, each holder of Class A ordinary shares is entitled to one vote per share and each holder of Class B ordinary shares is entitled to ten votes per share on all matters subject to vote at our general meetings. Our Class A ordinary shares and Class B ordinary shares vote together as a single class on all matters submitted to a vote of our shareholders, except as may otherwise be required by law. Voting at any shareholders’ meeting is by show of hands unless a poll is demanded (before or on the declaration of the result on a show of hands). A poll may be demanded by the chairman of such meeting or any shareholder present in person or by proxy.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Meetings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we are not obliged by the Companies Act of the Cayman Islands to call shareholders’ annual general meetings. Our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general meetings may be convened by the chairman of our board of directors or a majority of our board of directors (acting by a resolution of the board of directors). Advance notice of at least seven calendar days is required for the convening of our annual general shareholders’ meeting (if any) and any other general meeting of our shareholders. A quorum required for any general meeting of shareholders consists of one or more shareholders present in person or by proxy, representing not less than one-third of all votes attaching to all of our shares in issue and entitled to vote.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of the Cayman Islands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shareholders representing in aggregate not less than one-third of the votes attaching to the issued and outstanding shares of our company entitled to vote at general meetings, our board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restrictions set out in our memorandum and articles of association as set out below, any of our shareholders may transfer all or any of his or her ordinary shares by an instrument of transfer in the usual or common form or any other form approved by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ordinary share is to be transferred does not exceed four;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such maximum sum as Nasdaq may determine to be payable or such lesser sum as our directors may from time to time require is paid to us in respect thereof.</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three months after the date on which the instrument of transfer was lodged, send to each of the transferor and the transferee notice of such refusal.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after compliance with any notice required of 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Calls on Shares and Forfeiture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from time to time make calls upon shareholders for any amounts unpaid on their shares in a notice served to such shareholders at least 14 calendar days prior to the specified time of payment. The shares that have been called upon and remain unpaid are subject to forfeiture.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Repurchase and Surrender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shares on terms that such shares are subject to redemption, at our option or at the option of the holders of these shares, on such terms and in such manner as may be determined, before the issue of such shares, by our board of directors or by shareholders by special resolutions. Our Company may also repurchase any of our shares on such terms and in such manner as have been approved by our board of directors or by an ordinary resolution of our shareholders. Under the Companies Act of the Cayman Islands,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of the Cayman Islands,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Variations of Rights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our share capital is divided into different classes of shares, the rights attached to any such class of shares (unless otherwise provided by the terms of issue of the shares of that class), may be materially adversely varied with the consent in writing of the holders of two-thirds of the issued shares of that class or with the sanction of a special resolution passed at a separate meeting of the holders of the shares of the class. The rights conferred upon the holders of the shares of any class issued with preferred or other rights shall not, unless otherwise expressly provided by the terms of issue of the shares of that class, be deemed to be materially adversely varied by the creation or issue of further shares ranking pari passu with or subsequent to such existing class of shares or the redemption or purchase of any shares of any class by our company. In addition, the rights of the holders of shares shall not be deemed to be materially adversely varied by the creation or issue of shares with preferred or other rights including, without limitation, the creation of shares with enhanced or weighted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Additional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authorizes our board of directors to issue additional ordinary shares from time to time as our board of directors shall determine, to the extent of available authorized but unissued shares.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also authorizes our board of directors to establish from time to time one or more series of preference shares and to determine, with respect to any series of preference shares, the terms and rights of that series,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the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series;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rights, dividend rates, conversion rights, voting rights; and the rights and terms of redemption and liquidation preferences.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preference shares without action by our shareholders to the extent authorized but unissued. Issuance of these shares may dilute the voting power of holders of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Inspection of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will have no general right under Cayman Islands law to inspect or obtain copies of our register of members or our corporate records (save for the memorandum and articles of association, our register of mortgages and charges and special resolutions passed by our shareholders). Under Cayman Islands law, the names of our current directors can be obtained from a search conducted at the Registrar of Companies. However, we will provide our shareholders with annual audited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our memorandum and articles of association may discourage, delay or prevent a change of control of our company or management that shareholders may consider favorable, including provisions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our board of directors to issue preference shares in one or more series and to designate the price, rights, preferences, privileges and restrictions of such preference shares without any further vote or action by our shareholders;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 ability of shareholders to requisition and convene general meetings of shareholders.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Exempted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under the Companies Act of the Cayman Islands. The Companies Act of the Cayman Islands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file an annual return of its shareholders with the Registrar of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required to open its register of members for inspection;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issue shares with no par value;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 (such undertakings are given for a period of up to 30 years);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limited duration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Board Practices</w:t>
      </w:r>
      <w:r>
        <w:rPr>
          <w:rFonts w:ascii="Times New Roman;Times;Serif" w:hAnsi="Times New Roman;Times;Serif"/>
          <w:b w:val="false"/>
          <w:i w:val="false"/>
          <w:caps w:val="false"/>
          <w:smallCaps w:val="false"/>
          <w:sz w:val="20"/>
        </w:rPr>
        <w:t>. A director may vote with respect to any contract, proposed contract or arrangement in which he is materially interested provided (a) such director, if his interest in such contract or arrangement is material, has declared the nature of his interest at the earliest meeting of the board at which it is practicable for him to do so, either specifically or by way of a general notice, (b) such director has not been disqualified by the chairman of the relevant board meeting, and (c) if such contract or arrangement is a transaction with a related party, such transaction has been approved by the audit committee in accordance with the Nasdaq rules. The directors may exercise all the powers of the company to borrow money, mortgage its undertaking, property and uncalled capital, and issue debentures or other securities whenever money is borrowed or as security for any obligation of the company or of any third party. None of our non-executive directors has a service contract with us that provides for benefits upon termination of service.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DESCRIPTION OF AMERICAN DEPOSITARY SHARES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 as depositary, will register and deliver the ADSs. Each ADS will represent ownership of three Class A ordinary shares, deposited with Deutsche Bank AG, Hong Kong Branch, as custodian for the depositary. Each ADS will also represent ownership of any other securities, cash or other property which may be held by the depositary. The depositary’s corporate trust office at which the ADSs will be administered is located at 60 Wall Street, New York, NY 10005, USA. The principal executive office of the depositary is located at 60 Wall Street, New York, NY 10005, USA.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treat ADS holders as our shareholders and accordingly, you, as an ADS holder, will not have shareholder rights. Cayman Islands law governs shareholder rights. The depositary will be the holder of the Class A ordinary shares underlying your ADSs. As a holder of ADSs, you will have ADS holder rights. A deposit agreement among us, the depositary and you, as an ADS holder, and the beneficial owners of ADSs sets out ADS holder rights as well as the rights and obligations of the depositary. The laws of the State of New York govern the deposit agreement and the ADSs. See “—Jurisdiction and Arbitration.”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provisions of the deposit agreement. For more complete information, you should read the entire deposit agreement and the form of American Depositary Receipt. For directions on how to obtain copies of those documents, see “Where You Can Find More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Holding the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will you hold your ADSs?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hold ADSs either (1) directly (a) by having an American Depositary Receipt, or ADR, which is a certificate evidencing a specific number of ADSs, registered in your name, or (b) by holding ADSs in DRS, or (2) indirectly through your broker or other financial institution. If you hold ADSs directly, you are an ADS holder. This description assumes you hold your ADSs directly. ADSs will be issued through DRS, unless you specifically request certificated ADRs.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Other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will you receive dividends and other distributions on the shares?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has agreed to pay to you the cash dividends or other distributions it or the custodian receives on Class A ordinary shares or other deposited securities, after deducting its fees and expenses. You will receive these distributions in proportion to the number of Class A ordinary shares your ADSs represent as of the record date (which will be as close as practicable to the record date for our Class A ordinary shares) set by the depositary with respect to the ADSs.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Cash.</w:t>
            </w:r>
            <w:r>
              <w:rPr>
                <w:rFonts w:ascii="Times New Roman;Times;Serif" w:hAnsi="Times New Roman;Times;Serif"/>
                <w:b w:val="false"/>
                <w:i w:val="false"/>
                <w:caps w:val="false"/>
                <w:smallCaps w:val="false"/>
                <w:sz w:val="20"/>
              </w:rPr>
              <w:t xml:space="preserve"> The depositary will convert or cause to be converted any cash dividend or other cash distribution we pay on the Class A ordinary shares or any net proceeds from the sale of any Class A ordinary shares, rights, securities or other entitlements under the terms of the deposit agreement into U.S. dollars if it can do so on a practicable basis, and can transfer the U.S. dollars to the United States and will distribute promptly the amount thus received. If the depositary shall determine in its judgment that such conversions or transfers are not practical or lawful or if any government approval or license is needed and cannot be obtained at a reasonable cost within a reasonable period or otherwise sought, the deposit agreement allows the depositary to distribute the foreign currency only to those ADS holders to whom it is possible to do so. It will hold or cause the custodian to hold the foreign currency it cannot convert for the account of the ADS holders who have not been paid and such funds will be held for the respective accounts of the ADS holders. It will not invest the foreign currency and it will not be liable for any interest for the respective accounts of the ADS holders.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making a distribution, any taxes or other governmental charges, together with fees and expenses of the depositary, that must be paid, will be deducted. It will distribute only whole U.S. dollars and cents and will round down fractional cents to the nearest whole cent. If the exchange rates fluctuate during a time when the depositary cannot convert the foreign currency, you may lose some or all of the value of the distribution.</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xml:space="preserve"> For any Class A ordinary shares we distribute as a dividend or free distribution, either (1) the depositary will distribute additional ADSs representing such Class A ordinary shares or (2) existing ADSs as of the applicable record date will represent rights and interests in the additional Class A ordinary shares distributed, to the extent reasonably practicable and permissible under law, in either case, net of applicable fees, charges and expenses incurred by the depositary and taxes and/or other governmental charges. The depositary will only distribute whole ADSs. It will try to sell Class A ordinary shares which would require it to deliver a fractional ADS and distribute the net proceeds in the same way as it does with cash. The depositary may sell a portion of the distributed Class A ordinary shares sufficient to pay its fees and expenses, and any taxes and governmental charges, in connection with that distribution.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Elective Distributions in Cash or Shares.</w:t>
            </w:r>
            <w:r>
              <w:rPr>
                <w:rFonts w:ascii="Times New Roman;Times;Serif" w:hAnsi="Times New Roman;Times;Serif"/>
                <w:b w:val="false"/>
                <w:i w:val="false"/>
                <w:caps w:val="false"/>
                <w:smallCaps w:val="false"/>
                <w:sz w:val="20"/>
              </w:rPr>
              <w:t xml:space="preserve"> If we offer holders of our Class A ordinary shares the option to receive dividends in either cash or shares, the depositary, after consultation with us and having received timely notice as described in the deposit agreement of such elective distribution by us, has discretion to determine to what extent such elective distribution will be made available to you as a holder of the ADSs. We must timely first instruct the depositary to make such elective distribution available to you and furnish it with satisfactory evidence that it is legal to do so. The depositary could decide it is not legal or reasonably practicable to make such elective distribution available to you. In such case, the depositary shall, on the basis of the same determination as is made in respect of the Class A ordinary shares for which no election is made, distribute either cash in the same way as it does in a cash distribution, or additional ADSs representing Class A ordinary shares in the same way as it does in a share distribution. The depositary is not obligated to make available to you a method to receive the elective dividend in shares rather than in ADSs. There can be no assurance that you will be given the opportunity to receive elective distributions on the same terms and conditions as the holders of Class A ordinary shares.</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to Purchase Additional Shares.</w:t>
            </w:r>
            <w:r>
              <w:rPr>
                <w:rFonts w:ascii="Times New Roman;Times;Serif" w:hAnsi="Times New Roman;Times;Serif"/>
                <w:b w:val="false"/>
                <w:i w:val="false"/>
                <w:caps w:val="false"/>
                <w:smallCaps w:val="false"/>
                <w:sz w:val="20"/>
              </w:rPr>
              <w:t xml:space="preserve"> If we offer holders of our Class A ordinary shares any rights to subscribe for additional shares, the depositary shall having received timely notice as described in the deposit agreement of such distribution by us, consult with us, and we must determine whether it is lawful and reasonably practicable to make these rights available to you. We must first instruct the depositary to make such rights available to you and furnish the depositary with satisfactory evidence that it is legal to do so. If the depositary decides it is not legal or reasonably practicable to make the rights available but that it is lawful and reasonably practicable to sell the rights, the depositary will endeavor to sell the rights and in a riskless principal capacity or otherwise, at such place and upon such terms (including public or private sale) as it may deem proper distribute the net proceeds in the same way as it does with cash. The depositary will allow rights that are not distributed or sold to lapse. In that case, you will receive no value for them.</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makes rights available to you, it will establish procedures to distribute such rights and enable you to exercise the rights upon your payment of applicable fees, charges and expenses incurred by the depositary and taxes and/or other governmental charges. The depositary shall not be obliged to make available to you a method to exercise such rights to subscribe for Class A ordinary shares (rather than ADSs).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securities laws may restrict transfers and cancellation of the ADSs represented by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you will be given the opportunity to exercise rights on the same terms and conditions as the holders of Class A ordinary shares or be able to exercise such rights.</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Distributions.</w:t>
            </w:r>
            <w:r>
              <w:rPr>
                <w:rFonts w:ascii="Times New Roman;Times;Serif" w:hAnsi="Times New Roman;Times;Serif"/>
                <w:b w:val="false"/>
                <w:i w:val="false"/>
                <w:caps w:val="false"/>
                <w:smallCaps w:val="false"/>
                <w:sz w:val="20"/>
              </w:rPr>
              <w:t xml:space="preserve"> Subject to receipt of timely notice, as described in the deposit agreement, from us with the request to make any such distribution available to you, and provided the depositary has determined such distribution is lawful and reasonably practicable and feasible and in accordance with the terms of the deposit agreement, the depositary will distribute to you anything else we distribute on deposited securities by any means it may deem practicable, upon your payment of applicable fees, charges and expenses incurred by the depositary and taxes and/or other governmental charges. If any of the conditions above are not met, the depositary will endeavor to sell, or cause to be sold, what we distributed and distribute the net proceeds in the same way as it does with cash; or, if it is unable to sell such property, the depositary may dispose of such property in any way it deems reasonably practicable under the circumstances for nominal or no consideration, such that you may have no rights to or arising from such property.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we and/or the depositary determines that it is illegal or not practicable for us or the depositary to make them available to you.</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 Withdrawal and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are ADSs issued?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deliver ADSs if you or your broker deposit Class A ordinary shares or evidence of rights to receive Class A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do ADS holders cancel an American Depositary Share?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Class A ordinary shares and any other deposited securities underlying the ADSs to you or a person you designate at the office of the custodian. Or, at your request, risk and expense, the depositary will deliver the deposited securities at its corporate trust office, to the extent permitted by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do ADS holders interchange between Certificated ADSs and Uncertificated ADSs?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surrender your ADR to the depositary for the purpose of exchanging your ADR for uncertificated ADSs. The depositary will cancel that ADR and will send you a statement confirming that you are the owner of 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do you vote?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instruct the depositary to vote the Class A ordinary shares or other deposited securities underlying your ADSs at any meeting at which you are entitled to vote pursuant to any applicable law, the provisions of our memorandum and articles of association, and the provisions of or governing the deposited securities. </w:t>
      </w:r>
      <w:r>
        <w:rPr>
          <w:rFonts w:ascii="Times New Roman;Times;Serif" w:hAnsi="Times New Roman;Times;Serif"/>
          <w:b w:val="false"/>
          <w:i/>
          <w:caps w:val="false"/>
          <w:smallCaps w:val="false"/>
          <w:sz w:val="20"/>
        </w:rPr>
        <w:t>Otherwise, you could exercise your right to vote directly if you withdraw the Class A ordinary shares. However, you may not know about the meeting sufficiently enough in advance to withdraw the Class A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ask for your instructions and upon timely notice from us by regular, ordinary mail delivery, or by electronic transmission, as described in the deposit agreement, the depositary will notify you of the upcoming meeting at which you are entitled to vote pursuant to any applicable law, the provisions of our memorandum and articles of association, and the provisions of or governing the deposited securities, and arrange to deliver our voting materials to you. The materials will include or reproduce (a) such notice of meeting or solicitation of consents or proxies; (b) a statement that the ADS holders at the close of business on the ADS record date will be entitled, subject to any applicable law, the provisions of our memorandum and articles of association, and the provisions of or governing the deposited securities, to instruct the depositary as to the exercise of the voting rights, if any, pertaining to the Class A ordinary shares or other deposited securities represented by such holder’s ADSs; and (c) a brief statement as to the manner in which such instructions may be given or deemed given in accordance with the second to last sentence of this paragraph if no instruction is received, to the depositary to give a discretionary proxy to a person designated by us. Voting instructions may be given only in respect of a number of ADSs representing an integral number of Class A ordinary shares or other deposited securities. For instructions to be valid, the depositary must receive them in writing on or before the date specified. The depositary will try, as far as practical, subject to applicable law and the provisions of our memorandum and articles of association, to vote or to have its agents vote the Class A ordinary shares or other deposited securities (in person or by proxy) as you instruct. The depositary will only vote or attempt to vote as you instruct. If we timely requested the depositary to solicit your instructions but no instructions are received by the depositary from an owner with respect to any of the deposited securities represented by the ADSs of that owner on or before the date established by the depositary for such purpose, the depositary shall deem that owner to have instructed the depositary to give a discretionary proxy to a person designated by us with respect to such deposited securities, and the depositary shall give a discretionary proxy to a person designated by us to vote such deposited securities. However, no such instruction shall be deemed given and no such discretionary proxy shall be given with respect to any matter if we inform the depositary we do not wish such proxy given, substantial opposition exists or the matter materially and adversely affects the rights of holders of the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you will receive the voting materials in time to ensure that you can instruct the depositary to vote the Class A ordinary shares underlying your ADSs. In addition, there can be no assurance that ADS holders and beneficial owners generally, or any holder or beneficial owner in particular, will be given the opportunity to vote or cause the custodian to vote on the same terms and conditions as the holders of our Class A ordinary shares.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depositary and its agents are not responsible for failing to carry out voting instructions or for the manner of carrying out voting instructions. </w:t>
      </w:r>
      <w:r>
        <w:rPr>
          <w:rFonts w:ascii="Times New Roman;Times;Serif" w:hAnsi="Times New Roman;Times;Serif"/>
          <w:b w:val="false"/>
          <w:i/>
          <w:caps w:val="false"/>
          <w:smallCaps w:val="false"/>
          <w:sz w:val="20"/>
        </w:rPr>
        <w:t>This means that you may not be able to exercise your right to vote and you may have no recourse if the Class A ordinary shares underlying your ADSs are not voted as you requested.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give you a reasonable opportunity to instruct the depositary as to the exercise of voting rights relating to deposited securities, if we request the depositary to act, we will give the depositary notice of any such meeting and details concerning the matters to be voted at least 30 business days in advance of the meeting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Requests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ADS holder and beneficial owner shall (a) provide such information as we or the depositary may request pursuant to law, including, without limitation, relevant Cayman Islands law, any applicable law of the United States of America, our memorandum and articles of association, any resolutions of our Board of Directors adopted pursuant to such memorandum and articles of association, the requirements of any markets or exchanges upon which the Class A ordinary shares, ADSs or ADRs are listed or traded, or to any requirements of any electronic book-entry system by which the ADSs or ADRs may be transferred, regarding the capacity in which they own or owned ADRs, the identity of any other persons then or previously interested in such ADRs and the nature of such interest, and any other applicable matters, and (b) be bound by and subject to applicable provisions of the laws of the Cayman Islands, our memorandum and articles of association, and the requirements of any markets or exchanges upon which the ADSs, ADRs or Class A ordinary shares are listed or traded, or pursuant to any requirements of any electronic book-entry system by which the ADSs, ADRs or Class A ordinary shares may be transferred, to the same extent as if such ADS holder or beneficial owner held Class A ordinary shares directly, in each case irrespective of whether or not they are ADS holders or beneficial owners at the time such request is made.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of Interests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ADS holder and beneficial owner shall comply with our requests pursuant to Cayman Islands law, the rules and requirements of the Nasdaq Stock Market and any other stock exchange on which the Class A ordinary shares are, or will be, registered, traded or listed or our memorandum and articles of association, which requests are made to provide information, inter alia, as to the capacity in which such ADS holder or beneficial owner owns ADS and regarding the identity of any other person interested in such ADS and the nature of such interest and various other matters, whether or not they are ADS holders or beneficial owners at the time of such requests.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21"/>
        <w:gridCol w:w="60"/>
        <w:gridCol w:w="2924"/>
      </w:tblGrid>
      <w:tr>
        <w:trPr/>
        <w:tc>
          <w:tcPr>
            <w:tcW w:w="722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w:t>
            </w:r>
          </w:p>
        </w:tc>
        <w:tc>
          <w:tcPr>
            <w:tcW w:w="60" w:type="dxa"/>
            <w:tcBorders/>
            <w:tcMar>
              <w:bottom w:w="0" w:type="dxa"/>
            </w:tcMar>
            <w:vAlign w:val="center"/>
          </w:tcPr>
          <w:p>
            <w:pPr>
              <w:pStyle w:val="TableContents"/>
              <w:bidi w:val="0"/>
              <w:spacing w:before="0" w:after="283"/>
              <w:jc w:val="left"/>
              <w:rPr/>
            </w:pPr>
            <w:r>
              <w:rPr/>
              <w:t> </w:t>
            </w:r>
          </w:p>
        </w:tc>
        <w:tc>
          <w:tcPr>
            <w:tcW w:w="292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w:t>
            </w:r>
          </w:p>
        </w:tc>
      </w:tr>
      <w:tr>
        <w:trPr/>
        <w:tc>
          <w:tcPr>
            <w:tcW w:w="72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person to which ADSs are issued or to any person to which a distribution is made in respect of ADS distributions pursuant to stock dividends or other free distributions of stock, bonus distributions, stock splits or other distributions (except where converted to cash)</w:t>
            </w:r>
          </w:p>
        </w:tc>
        <w:tc>
          <w:tcPr>
            <w:tcW w:w="60" w:type="dxa"/>
            <w:tcBorders/>
            <w:tcMar>
              <w:bottom w:w="0" w:type="dxa"/>
            </w:tcMar>
            <w:vAlign w:val="center"/>
          </w:tcPr>
          <w:p>
            <w:pPr>
              <w:pStyle w:val="TableContents"/>
              <w:bidi w:val="0"/>
              <w:spacing w:before="0" w:after="283"/>
              <w:jc w:val="left"/>
              <w:rPr/>
            </w:pPr>
            <w:r>
              <w:rPr/>
              <w:t> </w:t>
            </w:r>
          </w:p>
        </w:tc>
        <w:tc>
          <w:tcPr>
            <w:tcW w:w="292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US$0.05 per ADS issued</w:t>
            </w:r>
          </w:p>
        </w:tc>
      </w:tr>
      <w:tr>
        <w:trPr/>
        <w:tc>
          <w:tcPr>
            <w:tcW w:w="722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92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of ADSs, including the case of termination of the deposit agreement</w:t>
            </w:r>
          </w:p>
        </w:tc>
        <w:tc>
          <w:tcPr>
            <w:tcW w:w="60" w:type="dxa"/>
            <w:tcBorders/>
            <w:tcMar>
              <w:bottom w:w="0" w:type="dxa"/>
            </w:tcMar>
            <w:vAlign w:val="center"/>
          </w:tcPr>
          <w:p>
            <w:pPr>
              <w:pStyle w:val="TableContents"/>
              <w:bidi w:val="0"/>
              <w:spacing w:before="0" w:after="283"/>
              <w:jc w:val="left"/>
              <w:rPr/>
            </w:pPr>
            <w:r>
              <w:rPr/>
              <w:t> </w:t>
            </w:r>
          </w:p>
        </w:tc>
        <w:tc>
          <w:tcPr>
            <w:tcW w:w="292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US$0.05 per ADS cancelled</w:t>
            </w:r>
          </w:p>
        </w:tc>
      </w:tr>
      <w:tr>
        <w:trPr/>
        <w:tc>
          <w:tcPr>
            <w:tcW w:w="722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92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cash dividends</w:t>
            </w:r>
          </w:p>
        </w:tc>
        <w:tc>
          <w:tcPr>
            <w:tcW w:w="60" w:type="dxa"/>
            <w:tcBorders/>
            <w:tcMar>
              <w:bottom w:w="0" w:type="dxa"/>
            </w:tcMar>
            <w:vAlign w:val="center"/>
          </w:tcPr>
          <w:p>
            <w:pPr>
              <w:pStyle w:val="TableContents"/>
              <w:bidi w:val="0"/>
              <w:spacing w:before="0" w:after="283"/>
              <w:jc w:val="left"/>
              <w:rPr/>
            </w:pPr>
            <w:r>
              <w:rPr/>
              <w:t> </w:t>
            </w:r>
          </w:p>
        </w:tc>
        <w:tc>
          <w:tcPr>
            <w:tcW w:w="292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US$0.05 per ADS held</w:t>
            </w:r>
          </w:p>
        </w:tc>
      </w:tr>
      <w:tr>
        <w:trPr/>
        <w:tc>
          <w:tcPr>
            <w:tcW w:w="722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92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cash entitlements (other than cash dividends) and/or cash proceeds from the sale of rights, securities and other entitlements</w:t>
            </w:r>
          </w:p>
        </w:tc>
        <w:tc>
          <w:tcPr>
            <w:tcW w:w="60" w:type="dxa"/>
            <w:tcBorders/>
            <w:tcMar>
              <w:bottom w:w="0" w:type="dxa"/>
            </w:tcMar>
            <w:vAlign w:val="center"/>
          </w:tcPr>
          <w:p>
            <w:pPr>
              <w:pStyle w:val="TableContents"/>
              <w:bidi w:val="0"/>
              <w:spacing w:before="0" w:after="283"/>
              <w:jc w:val="left"/>
              <w:rPr/>
            </w:pPr>
            <w:r>
              <w:rPr/>
              <w:t> </w:t>
            </w:r>
          </w:p>
        </w:tc>
        <w:tc>
          <w:tcPr>
            <w:tcW w:w="292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US$0.05 per ADS held</w:t>
            </w:r>
          </w:p>
        </w:tc>
      </w:tr>
      <w:tr>
        <w:trPr/>
        <w:tc>
          <w:tcPr>
            <w:tcW w:w="722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92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ADSs pursuant to exercise of rights</w:t>
            </w:r>
          </w:p>
        </w:tc>
        <w:tc>
          <w:tcPr>
            <w:tcW w:w="60" w:type="dxa"/>
            <w:tcBorders/>
            <w:tcMar>
              <w:bottom w:w="0" w:type="dxa"/>
            </w:tcMar>
            <w:vAlign w:val="center"/>
          </w:tcPr>
          <w:p>
            <w:pPr>
              <w:pStyle w:val="TableContents"/>
              <w:bidi w:val="0"/>
              <w:spacing w:before="0" w:after="283"/>
              <w:jc w:val="left"/>
              <w:rPr/>
            </w:pPr>
            <w:r>
              <w:rPr/>
              <w:t> </w:t>
            </w:r>
          </w:p>
        </w:tc>
        <w:tc>
          <w:tcPr>
            <w:tcW w:w="292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US$0.05 per ADS held</w:t>
            </w:r>
          </w:p>
        </w:tc>
      </w:tr>
      <w:tr>
        <w:trPr/>
        <w:tc>
          <w:tcPr>
            <w:tcW w:w="722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92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securities other than ADSs or rights to purchase additional ADSs</w:t>
            </w:r>
          </w:p>
        </w:tc>
        <w:tc>
          <w:tcPr>
            <w:tcW w:w="60" w:type="dxa"/>
            <w:tcBorders/>
            <w:tcMar>
              <w:bottom w:w="0" w:type="dxa"/>
            </w:tcMar>
            <w:vAlign w:val="center"/>
          </w:tcPr>
          <w:p>
            <w:pPr>
              <w:pStyle w:val="TableContents"/>
              <w:bidi w:val="0"/>
              <w:spacing w:before="0" w:after="283"/>
              <w:jc w:val="left"/>
              <w:rPr/>
            </w:pPr>
            <w:r>
              <w:rPr/>
              <w:t> </w:t>
            </w:r>
          </w:p>
        </w:tc>
        <w:tc>
          <w:tcPr>
            <w:tcW w:w="292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US$0.05 per ADS held</w:t>
            </w:r>
          </w:p>
        </w:tc>
      </w:tr>
      <w:tr>
        <w:trPr/>
        <w:tc>
          <w:tcPr>
            <w:tcW w:w="722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92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Depositary services</w:t>
            </w:r>
          </w:p>
        </w:tc>
        <w:tc>
          <w:tcPr>
            <w:tcW w:w="60" w:type="dxa"/>
            <w:tcBorders/>
            <w:tcMar>
              <w:bottom w:w="0" w:type="dxa"/>
            </w:tcMar>
            <w:vAlign w:val="center"/>
          </w:tcPr>
          <w:p>
            <w:pPr>
              <w:pStyle w:val="TableContents"/>
              <w:bidi w:val="0"/>
              <w:spacing w:before="0" w:after="283"/>
              <w:jc w:val="left"/>
              <w:rPr/>
            </w:pPr>
            <w:r>
              <w:rPr/>
              <w:t> </w:t>
            </w:r>
          </w:p>
        </w:tc>
        <w:tc>
          <w:tcPr>
            <w:tcW w:w="292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US$0.05 per ADS held on the applicable record date(s) established by the depositary bank</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for the transfer and registration of Class A ordinary shares charged by the registrar and transfer agent for the Class A ordinary shares in the Cayman Islands (i.e., upon deposit and withdrawal of Class A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for converting foreign currency into U.S. dollars.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for cable, telex and fax transmissions and for delivery of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and duties upon the transfer of securities, including any applicable stamp duties, any stock transfer charges or withholding taxes (i.e., when Class A ordinary shares are deposited or withdrawn from deposit).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incurred in connection with the delivery or servicing of Class A ordinary shares on deposit.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incurred in connection with complying with exchange control regulations and other regulatory requirements applicable to Class A ordinary shares, deposited securities, ADSs and ADRs that evidence ADSs.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fees and penalties thereon.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Reclassifications, Recapitalizations and Mergers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627"/>
        <w:gridCol w:w="60"/>
        <w:gridCol w:w="5518"/>
      </w:tblGrid>
      <w:tr>
        <w:trPr/>
        <w:tc>
          <w:tcPr>
            <w:tcW w:w="462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w:t>
            </w:r>
          </w:p>
        </w:tc>
        <w:tc>
          <w:tcPr>
            <w:tcW w:w="60" w:type="dxa"/>
            <w:tcBorders/>
            <w:tcMar>
              <w:bottom w:w="0" w:type="dxa"/>
            </w:tcMar>
            <w:vAlign w:val="center"/>
          </w:tcPr>
          <w:p>
            <w:pPr>
              <w:pStyle w:val="TableContents"/>
              <w:bidi w:val="0"/>
              <w:spacing w:before="0" w:after="283"/>
              <w:jc w:val="left"/>
              <w:rPr/>
            </w:pPr>
            <w:r>
              <w:rPr/>
              <w:t> </w:t>
            </w:r>
          </w:p>
        </w:tc>
        <w:tc>
          <w:tcPr>
            <w:tcW w:w="551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Then:</w:t>
            </w:r>
          </w:p>
        </w:tc>
      </w:tr>
      <w:tr>
        <w:trPr/>
        <w:tc>
          <w:tcPr>
            <w:tcW w:w="46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nominal or par value of our Class A ordinary shares</w:t>
            </w:r>
          </w:p>
        </w:tc>
        <w:tc>
          <w:tcPr>
            <w:tcW w:w="60" w:type="dxa"/>
            <w:tcBorders/>
            <w:tcMar>
              <w:bottom w:w="0" w:type="dxa"/>
            </w:tcMar>
            <w:vAlign w:val="center"/>
          </w:tcPr>
          <w:p>
            <w:pPr>
              <w:pStyle w:val="TableContents"/>
              <w:bidi w:val="0"/>
              <w:spacing w:before="0" w:after="283"/>
              <w:jc w:val="left"/>
              <w:rPr/>
            </w:pPr>
            <w:r>
              <w:rPr/>
              <w:t> </w:t>
            </w:r>
          </w:p>
        </w:tc>
        <w:tc>
          <w:tcPr>
            <w:tcW w:w="551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shares or other securities received by the depositary will become deposited securities.</w:t>
            </w:r>
          </w:p>
        </w:tc>
      </w:tr>
      <w:tr>
        <w:trPr/>
        <w:tc>
          <w:tcPr>
            <w:tcW w:w="462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551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6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Reclassify, split up or consolidate any of the deposited securities</w:t>
            </w:r>
          </w:p>
        </w:tc>
        <w:tc>
          <w:tcPr>
            <w:tcW w:w="60" w:type="dxa"/>
            <w:tcBorders/>
            <w:tcMar>
              <w:bottom w:w="0" w:type="dxa"/>
            </w:tcMar>
            <w:vAlign w:val="center"/>
          </w:tcPr>
          <w:p>
            <w:pPr>
              <w:pStyle w:val="TableContents"/>
              <w:bidi w:val="0"/>
              <w:spacing w:before="0" w:after="283"/>
              <w:jc w:val="left"/>
              <w:rPr/>
            </w:pPr>
            <w:r>
              <w:rPr/>
              <w:t> </w:t>
            </w:r>
          </w:p>
        </w:tc>
        <w:tc>
          <w:tcPr>
            <w:tcW w:w="551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ADS will automatically represent its equal share of the new deposited securities.</w:t>
            </w:r>
          </w:p>
        </w:tc>
      </w:tr>
      <w:tr>
        <w:trPr/>
        <w:tc>
          <w:tcPr>
            <w:tcW w:w="462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551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6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Distribute securities on the Class A ordinary shares that are not distributed to you, or Recapitalize, reorganize, merge, liquidate, sell all or substantially all of our assets, or take any similar action</w:t>
            </w:r>
          </w:p>
        </w:tc>
        <w:tc>
          <w:tcPr>
            <w:tcW w:w="60" w:type="dxa"/>
            <w:tcBorders/>
            <w:tcMar>
              <w:bottom w:w="0" w:type="dxa"/>
            </w:tcMar>
            <w:vAlign w:val="center"/>
          </w:tcPr>
          <w:p>
            <w:pPr>
              <w:pStyle w:val="TableContents"/>
              <w:bidi w:val="0"/>
              <w:spacing w:before="0" w:after="283"/>
              <w:jc w:val="left"/>
              <w:rPr/>
            </w:pPr>
            <w:r>
              <w:rPr/>
              <w:t> </w:t>
            </w:r>
          </w:p>
        </w:tc>
        <w:tc>
          <w:tcPr>
            <w:tcW w:w="551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distribute some or all of the cash, shares or other securities it received. It may also deliver new ADSs or ask you to surrender your outstanding ADRs in exchange for new ADRs identifying the new deposited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may the deposit agreement be amended?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charges or similar items, including 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w:t>
      </w:r>
      <w:r>
        <w:rPr>
          <w:rFonts w:ascii="Times New Roman;Times;Serif" w:hAnsi="Times New Roman;Times;Serif"/>
          <w:b w:val="false"/>
          <w:i/>
          <w:caps w:val="false"/>
          <w:smallCaps w:val="false"/>
          <w:sz w:val="20"/>
        </w:rPr>
        <w:t>At the time an amendment becomes effective, you are considered, by continuing to hold your ADSs, to agree to the amendment and to be bound by the ADRs and the deposit agreement as amended</w:t>
      </w:r>
      <w:r>
        <w:rPr>
          <w:rFonts w:ascii="Times New Roman;Times;Serif" w:hAnsi="Times New Roman;Times;Serif"/>
          <w:b w:val="false"/>
          <w:i w:val="false"/>
          <w:caps w:val="false"/>
          <w:smallCaps w:val="false"/>
          <w:sz w:val="20"/>
        </w:rPr>
        <w:t>. If any new laws are adopted which would require the deposit agreement to be amended in order to comply therewith, we and the depositary may amend the deposit agreement in accordance with such laws and such amendment may become effective before notice thereof is given to ADS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may the deposit agreement be terminated?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or if we have removed the depositary, and in either case we have not appointed a new depositary within 90 days. In either such case, the depositary must notify you at least 30 days before termination.</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termination, the depositary and its agents will do the following under the deposit agreement but nothing else: collect distributions on the deposited securities, sell rights and other property and deliver Class A ordinary shares and other deposited securities upon cancellation of ADSs after payment of any fees, charges, taxes or other governmental charges. Six months or more after the date of termination, the depositary may sell any remaining deposited securities by public or private sale. After that, the depositary will hold the money it received on the sale, as well as any other cash it is holding under the deposit agreement, for the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benefit of the ADS holders that have not surrendered their ADSs. It will not invest the money and has no liability for interest. After such sale, the depositary’s only obligations will be to account for the money and other cash. After termination, we shall be discharged from all obligations under the deposit agreement except for our obligations to the depositary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Books of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maintain ADS holder records at its depositary office. You may inspect such records at such office during regular business hours but solely for the purpose of communicating with other holders in the interest of business matters relating to the Company, the ADRs and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maintain facilities in the Borough of Manhattan, The City of New York to record and process the issuance, cancellation, combination, split-up and transfer of ADRs.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facilities may be closed at any time or from time to time when such action is deemed necessary or advisable by the depositary in connection with the performance of its duties under the deposit agreement or at our reasonable written request.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Obligations and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Limits on our Obligations and the Obligations of the Depositary and the Custodian; Limits on Liability to Holders of ADSs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expressly limits our obligations and the obligations of the depositary and the custodian. It also limits our liability and the liability of the depositary. The depositary and the custodian:</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only obligated to take the actions specifically set forth in the deposit agreement without gross negligence or willful misconduct;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liable if any of us or our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the Cayman Islands or any other country, or of any other governmental authority or regulatory authority or stock exchange, or on account of the possible criminal or civil penalties or restraint, or by reason of any provision, present or future, of our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liable by reason of any exercise of, or failure to exercise, any discretion provided for in the deposit agreement or in our memorandum and articles of association or provisions of or governing deposited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liable for any action or inaction of the depositary, the custodian or us or their or our respective controlling persons or agents in reliance upon the advice of or information from legal counsel, any person presenting Class A ordinary shares for deposit or any other person believed by it in good faith to be competent to give such advice or information;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liable for the inability of any holder of ADSs to benefit from any distribution on deposited securities that is not made available to holders of ADSs under the terms of the deposit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liable for any special, consequential, indirect or punitive damages for any breach of the terms of the deposit agreement, or otherwise;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rely upon any documents we believe in good faith to be genuine and to have been signed or presented by the proper party;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disclaim any liability for any action or inaction of any of us or our respective controlling persons or agents in reliance upon the advice of or information from legal counsel, accountants, any person presenting Class A ordinary shares for deposit, holders and beneficial owners (or authorized representatives) of ADSs, or any person believed in good faith to be competent to give such advice or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disclaim any liability for inability of any holder to benefit from any distribution, offering, right or other benefit made available to holders of deposited securities but not made available to holders of ADS.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the failure or timeliness of any notice from us, the content of any information submitted to it by us for distribution to you or for any inaccuracy of any translation thereof, (iii) any investment risk associated with the acquisition of an interest in the deposited securities, the validity or worth of the deposited securities, the credit-worthiness of any third party, (iv) for any tax consequences that may result from ownership of ADSs, Class A ordinary shares or deposited securities, or (v)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and Arbitration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State of New York govern the deposit agreement and the ADSs and we have agreed with the depositary that the federal or state courts in the City of New York shall have exclusive jurisdiction to hear and determine any dispute arising from or in connection with the deposit agreement and that the depositary will have the right to refer any claim or dispute arising from the relationship created by the deposit agreement to arbitration in accordance with the Commercial Arbitration Rules of the American Arbitration Association. The arbitration provisions of the deposit agreement do not preclude you from pursuing claims under the Securities Act or the Exchange Act in federal courts.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Jury Trial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provides that each party to the deposit agreement (including each holder, beneficial owner and holder of interest in the ADRs) irrevocably waives, to the fullest extent permitted by applicable law, any right it may have to trial by jury in any lawsuit or proceedings against us or the depositary arising out of or relating to our shares, the ADSs or the deposit agreement, including any claim under U.S. federal securities laws. If we or the depositary opposed a jury trial demand based on the waiver, the court would determine whether the waiver was enforceable based on the facts and circumstances of the case in accordance with the 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Requirements for Depositary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depositary will issue, deliver or register a transfer of an ADS, split-up, subdivide or combine ADSs, make a distribution on an ADS, or permit withdrawal of Class A ordinary shares, the depositary may require: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stock transfer or other taxes or other governmental charges and transfer or registration fees charged by third parties for the transfer of any Class A ordinary shares or other deposited securities and payment of the applicable fees, expenses and charges of the depositary;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proof of the identity and genuineness of any signature or any other matters contemplated in the deposit agreement;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(A) any laws or governmental regulations relating to the execution and delivery of ADRs or ADSs or to the withdrawal or delivery of deposited securities and (B) such reasonable regulations and procedures as the depositary may establish, from time to time, consistent with the deposit agreement and applicable laws, including presentation of transfer documents.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refuse to issue and deliver ADSs or register transfers of ADSs generally when the register of the depositary or our transfer books are closed or at any time if the depositary or we determine that it is necessary or advisable to do so.</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Right to Receive the Shares Underlying Your ADSs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the right to cancel your ADSs and withdraw the underlying Class A ordinary shares at any time except:</w:t>
      </w:r>
    </w:p>
    <w:p>
      <w:pPr>
        <w:pStyle w:val="TextBody"/>
        <w:shd w:fill="FFFFFF" w:val="clear"/>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temporary delays arise because: (1) the depositary has closed its transfer books or we have closed our transfer books; (2) the transfer of Class A ordinary shares is blocked to permit voting at a shareholders’ meeting; or (3) we are paying a dividend on our Class A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owe money to pay fees, taxes and similar charges;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it is necessary to prohibit withdrawals in order to comply with any laws or governmental regulations that apply to ADSs or to the withdrawal of Class A ordinary shares or other deposited securities,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circumstances specifically contemplated by Section I.A.(l) of the General Instructions to Form F-6 (as such General Instructions may be amended from time to time);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other reason if the depositary or we determine, in good faith, that it is necessary or advisable to prohibit withdrawals.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not knowingly accept for deposit under the deposit agreement any Class A ordinary shares or other deposited securities required to be registered under the provisions of the Securities Act, unless a registration statement is in effect as to such Class A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right of withdrawal may not be limited by any other provision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Registration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sq_001"/>
      <w:bookmarkEnd w:id="9"/>
      <w:r>
        <w:rPr>
          <w:rFonts w:ascii="Times New Roman;Times;Serif" w:hAnsi="Times New Roman;Times;Serif"/>
          <w:b/>
          <w:i w:val="false"/>
          <w:caps/>
          <w:sz w:val="20"/>
        </w:rPr>
        <w:t>DESCRIPTION OF PREFERRED SHARES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each issue or series of preferred shares will be described in the applicable prospectus supplement. This description will include, where applicable, a description of:</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and nominal value of the preferred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preferred shares we are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liquidation preference per preferred share,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 price per preferred share (or if applicable, the calculation formula of the issue price per preferred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preferential subscription rights will be issued to existing shareholders;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rate per preferred share, dividend period and payment dates and method of calculation for dividends;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dividends will be cumulative or non-cumulative and, if cumulative, the date from which dividends will accumulate;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right, if any, to defer payment of dividends and the maximum length of any such deferral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ranking and preferences of the preferred shares as to dividend rights (preferred dividend if any) and rights if we liquidate, dissolve or wind up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for any auction and remarketing,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for redemption or repurchase, if applicable, and any restrictions on our ability to exercise those redemption and repurchase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listing of the preferred shares on any securities exchange or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will be convertible into our Class A ordinary shares (including in the form of ADSs) or preferred shares of another category, and, if applicable, conditions of an automatic conversion into Class A ordinary shares (including in the form of ADSs), if any, the conversion period, the conversion price, or how such price will be calculated, and under what circumstances it may be adjusted;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 if any, of the preferred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preemption rights,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restrictions on transfer, sale or assignment, if any;</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any material or special Cayman Islands or United States federal income tax considerations applicable to the preferred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limitations on issuances of any class or series of preferred shares ranking senior to or on a parity with the series of preferred shares being issued as to dividend rights and rights if we liquidate, dissolve or wind up our affairs;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rights attached to the preferred shares regarding the corporate governance of our company, which may include, for example representation rights to the board of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specific terms, rights, preferences, privileges, qualifications or restrictions of the preferred shares.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cause us to issue from time to time, out of our authorized share capital (other than the authorized but unissued ordinary shares), series of preferred shares in their absolute discretion and without approval of the shareholders; provided, however, before any preferred shares of any such series are issued, our board of directors shall by resolution of directors determine, with respect to any series of preferred shares, the terms and rights of that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issue preferred shares under this prospectus and the applicable prospectus supplement, the shares will be fully paid and non-assessable and will not have, or be subject to, any pre-emptive or similar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shares could adversely affect the voting power of holders of the ordinary shares and ADSs and reduce the likelihood that holders of the ordinary shares and ADSs will receive dividend payments and payments upon liquidation. The issuance could have the effect of decreasing the market price of our ADSs. The issuance of preferred shares also could have the effect of delaying, deterring or preventing a change in control of our company.</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0" w:name="sq_002"/>
      <w:bookmarkEnd w:id="10"/>
      <w:r>
        <w:rPr>
          <w:rFonts w:ascii="Times New Roman;Times;Serif" w:hAnsi="Times New Roman;Times;Serif"/>
          <w:b/>
          <w:i w:val="false"/>
          <w:caps/>
          <w:sz w:val="20"/>
        </w:rPr>
        <w:t>DESCRIPTION OF WARRANTS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warrants, which we may issue under this prospectus or the applicable prospectus supplement, does not purport to be complete and is subject to, and qualified in its entirety by reference to, the provisions of the warrant agreement that will be filed with the SEC in connection with the offering of such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Class A ordinary shares (including in the form of ADSs) and preferred shares. Warrants may be issued independently or together with any other securities and may be attached to, or separate from, such securities. Each series of warrants will be issued under a separate warrant agreement to be entered into between us and a warrant agent.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following terms of any warrants in respect of which this prospectus is being delivered:</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such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such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or prices at which such warrants will be issued and exercised;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or currencies in which the price of such warrants will be payable;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purchasable upon exercise of such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such warrants shall commence and the date on which such right shall expire;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minimum or maximum amount of such warrants which may be exercised at any one time;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designation and terms of the securities with which such warrants are issued and the number of such warrants issued with each such security;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date on and after which such warrants and the related securities will be separately transferable;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book-entry procedures,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material Cayman Islands or United States federal income tax consequences;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antidilution provisions of the warrants, if 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such warrants, including terms, procedures and limitations relating to the exchange and exercise of such warrants.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and Supplements to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1" w:name="sq_003"/>
      <w:bookmarkEnd w:id="11"/>
      <w:r>
        <w:rPr>
          <w:rFonts w:ascii="Times New Roman;Times;Serif" w:hAnsi="Times New Roman;Times;Serif"/>
          <w:b/>
          <w:i w:val="false"/>
          <w:caps/>
          <w:sz w:val="20"/>
        </w:rPr>
        <w:t>DESCRIPTION OF SUBSCRIPTION RIGHTS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the subscription rights does not purport to be complete and is subject to, and qualified in its entirety by reference to, the provisions of the certificate evidencing the subscription rights that will be filed with the SEC in connection with the offering of such subscription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to purchase Class A ordinary shares, including Class A ordinary shares represented by ADSs. Subscription rights may be issued independently or together with any other offered security and may or may not be transferable by the person purchasing or receiving the subscription rights. In connection with any subscription rights offering to our shareholders, we may enter into a standby underwriting arrangement with one or more underwriters pursuant to which such underwriters will purchase any offered securities remaining unsubscribed for after such subscription rights offering. In connection with a subscription rights offering to our shareholders, we will distribute certificates evidencing the subscription rights and a prospectus supplement to our shareholders on the record date that we set for receiving subscription rights in such subscription rights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following terms of subscription rights in respect of which this prospectus is being delivered:</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such subscription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for which such subscription rights are exercisable;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for such subscription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such subscription rights issued to each shareholder;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such subscription rights are transferable;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a discussion of the material Cayman Islands or United States federal income tax considerations applicable to the issuance or exercise of such subscription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such subscription rights shall commence, and the date on which such rights shall expire (subject to any extension);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such subscription rights include an over-subscription privilege with respect to unsubscribed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material terms of any standby underwriting or other purchase arrangement that we may enter into in connection with the subscription rights offering;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such subscription rights, including terms, procedures and limitations relating to the exchange and exercise of such subscription rights.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Subscription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subscription right will entitle the holder of the subscription right to purchase for cash such amount of securities at such exercise price as shall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will become void.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Class A ordinary shares purchasable upon such exercise. We may determine to offer any unsubscribed offered securities directly to persons other than shareholders, to or through agents, underwriters or dealers or through a combination of such methods, including pursuant to standby underwriting arrangements, as set forth in the applicable prospectus supplement.</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2" w:name="sq_004"/>
      <w:bookmarkEnd w:id="12"/>
      <w:r>
        <w:rPr>
          <w:rFonts w:ascii="Times New Roman;Times;Serif" w:hAnsi="Times New Roman;Times;Serif"/>
          <w:b/>
          <w:i w:val="false"/>
          <w:caps/>
          <w:sz w:val="20"/>
        </w:rPr>
        <w:t>DESCRIPTION OF UNITS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the units does not purport to be complete and is subject to, and qualified in its entirety by reference to, the provisions of the certificate evidencing the units that will be filed with the SEC in connection with the offering of such units.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of the other securities described in this prospectus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terms of the units and of the securities comprising the units, including whether and under what circumstances those securities may be held or transferred separately;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unit agreement under which the units will be issued;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the issuance, payment, settlement, transfer or exchange of the units or of the securities comprising the units;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units will be issued in fully registered or global form.</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3" w:name="sq_005"/>
      <w:bookmarkEnd w:id="13"/>
      <w:r>
        <w:rPr>
          <w:rFonts w:ascii="Times New Roman;Times;Serif" w:hAnsi="Times New Roman;Times;Serif"/>
          <w:b/>
          <w:i w:val="false"/>
          <w:caps/>
          <w:sz w:val="20"/>
        </w:rPr>
        <w:t>ENFORCEABILITY OF CIVIL LIABILITIES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are incorporated in the Cayman Islands to take advantage of certain benefits associated with being a Cayman Islands exempted company, such as:</w:t>
      </w:r>
    </w:p>
    <w:p>
      <w:pPr>
        <w:pStyle w:val="TextBody"/>
        <w:bidi w:val="0"/>
        <w:spacing w:before="0" w:after="0"/>
        <w:ind w:left="0" w:right="0" w:firstLine="72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and economic stability;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effective judicial system;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favorable tax system;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absence of exchange control or currency restrictions;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professional and support services.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Cayman Islands.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has a less developed body of securities laws as compared to the United States and these securities laws provide significantly less protection to investors as compared to the United States;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companies may not have standing to sue before the federal courts of the United States.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does not contain provisions requiring that disputes, including those arising under the securities laws of the United States, between us, our officers, directors and shareholders, be arbitrated.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current operations are conducted in China, and substantially all of our assets are located outside of the United States. All of our directors and executive officers are nationals or residents of jurisdictions other than the United States and all of their assets are located outside the United States. As a result, it may be difficult or impossible for a shareholder to effect service of process within the United States upon these individuals, or to bring an action against us or against these individuals in the United States, including judgments predicated upon the civil liability provisions of the securities laws of the United States or any state in the United States, in the event that you believe that your rights have been infringed under the securities laws of the United States or any state in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Puglisi &amp; Associates, located at 850 Library Avenue, Suite 204, Newark, Delaware 19711, as our agent upon whom process may be served in any action brought against us under the securities laws of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 our counsel as to Cayman Islands law, has advised us that the courts of the Cayman Islands are unlikely (i) to recognize or enforce judgments of U.S. courts obtained against us or our directors or officers that are predicated upon the civil liability provisions of the federal securities laws of the United States or the securities laws of any state in the United States, and (ii) in original actions brought in the Cayman Islands to impose liabilities against us or our directors or officers that are predicated upon the federal securities laws of the United States or the securities laws of any state in the United States.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 has informed us that although there is no statutory recognition in the Cayman Islands of judgments obtained in the federal or state courts of the United States (and the Cayman Islands are not a party to any treaties for the reciprocal enforcement or recognition of such judgments), the courts of the Cayman Islands will, at common law, recognize and enforce a foreign money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(i) is given by a foreign court of competent jurisdiction, (ii) imposes on the judgement debtor a liability to pay a liquidated sum for which the judgement has been given, (iii) is final and conclusive, (iv) is not in respect of taxes, a fine or a penalty; (v) is not inconsistent with a Cayman Islands judgment in respect of the same matter, and (vi) is not impeachable on the grounds of fraud and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Han Kun Law Offices, our counsel as to certain PRC legal matters, there is uncertainty as to whether the courts of China would:</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or enforce judgments of United States courts obtained against us or our directors or officers predicated upon the civil liability provisions of the securities laws of the United States or any state in the United States;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entertain original actions brought in each respective jurisdiction against us or our directors or officers predicated upon the securities laws of the United States or any state in the United States.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the opinion of Han Kun Law Offices, our counsel as to certain PRC legal matters,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a company in China for disputes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It will be, however, difficult for U.S. shareholders to originate actions against us in the PRC in accordance with PRC laws because we are incorporated under the laws of the Cayman Islands and it will be difficult for U.S. shareholders, by virtue only of holding the ADSs or our ordinary shares, to establish a connection to the PRC for a PRC court to have jurisdiction as required under the PRC Civil Procedures Law.</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sq_006"/>
      <w:bookmarkEnd w:id="14"/>
      <w:r>
        <w:rPr>
          <w:rFonts w:ascii="Times New Roman;Times;Serif" w:hAnsi="Times New Roman;Times;Serif"/>
          <w:b/>
          <w:i w:val="false"/>
          <w:caps/>
          <w:sz w:val="20"/>
        </w:rPr>
        <w:t>TAXATION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income tax consequences relating to the purchase, ownership and disposition of any of the securities offered by this prospectus will be set forth in the applicable prospectus supplement(s) relating to the offering of those securities. Cayman Islands tax considerations are discussed under “Item 10. Additional Information—E. Taxation” in the 2025 Form 20-F, which is incorporated by reference into this prospectus, and, to the extent such discussion constitutes statements of Cayman Islands law, it is the opinion of Maples and Calder (Hong Kong) LLP. PRC tax considerations are also discussed under “Item 10. Additional Information—E. Taxation” in our 2025 Form 20-F, which is incorporated by reference into this prospectus, and, to the extent such discussion constitutes statements of PRC law, it is the opinion of Han Kun Law Offices.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sq_007"/>
      <w:bookmarkEnd w:id="15"/>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or distribute the securities described in this prospectus from time to time in one or more of the following ways: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underwriters or dealers;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to one or more purchasers;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“at-the-market offerings,” within the meaning of Rule 415(a)(4) of the Securities Act, to or through a market maker or into an existing trading market, on an exchange or otherwise;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 combination of any of these methods of sale;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any other method permitted by applicable law and described in the applicable prospectus supplement.</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with respect to the offered securities will describe the terms of the offering, including the following, if applicable:</w:t>
      </w:r>
    </w:p>
    <w:p>
      <w:pPr>
        <w:pStyle w:val="TextBody"/>
        <w:bidi w:val="0"/>
        <w:spacing w:before="0" w:after="0"/>
        <w:ind w:left="0" w:right="0" w:firstLine="72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170"/>
        <w:gridCol w:w="897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or names of any underwriters or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public offering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from such sale;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discounts or agency fees and other items constituting underwriters’ or agents’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over-allotment options under which underwriters may purchase additional securities from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discounts or concessions allowed or reallowed or paid to dealers;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exchanges on which the securities may be listed.</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distribute the securities from time to time in one or more of the following ways:</w:t>
      </w:r>
    </w:p>
    <w:p>
      <w:pPr>
        <w:pStyle w:val="TextBody"/>
        <w:bidi w:val="0"/>
        <w:spacing w:before="0" w:after="0"/>
        <w:ind w:left="0" w:right="0" w:firstLine="72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75"/>
        <w:gridCol w:w="170"/>
        <w:gridCol w:w="513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fixed price or prices, which may be changed;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prices relating to prevailing market prices at the time of sale;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varying prices determined at the time of sale;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negotiated prices;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no consideration.</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designate agents who agree to use their reasonable efforts to solicit purchases for the period of their appointment or to sell securities on a continuing basis. Any agent involved will be named, and any commissions payable by us to such agent will be set forth, in the applicable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Underwriters or 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underwriters for the sale of securities, they will acquire securities for their own account, including through underwriting, purchase, security lending or repurchase agreements with us. The underwriters may resell the securities from time to time in one or more transactions, including negotiated transactions, at a fixed public offering price or at varying prices determined at the time of sale. Unless otherwise stated in the applicable prospectus supplement, various conditions will apply to the underwriters’ obligation to purchase securities, and the underwriters will be obligated to purchase all of the securities contemplated in an offering if they purchase any of such securities. Any initial public offering price and any discounts or concessions allowed or reallowed or paid to dealers may be changed from time to time. The underwriter or underwriters with respect to a particular underwritten offering of securities, or, if an underwriting syndicate is used, the managing underwriter or underwriters, will be set forth on the cover of the applicable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dealers in the sale, unless we otherwise indicate in the applicable prospectus supplement, we will sell securities to the dealers as principals. The dealers may then resell the securities to the public at varying prices that the dealers may determine at the time of resale.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sell securities directly without using agents, underwriters, or dealers.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agreements with underwriters, dealers and agents that entitle them to indemnification against certain civil liabilities, including liabilities under the Securities Act, or to contribution with respect to payments which the underwriters, dealers or agents may be required to make. Underwriters, dealers and agents may be customers of, may engage in transactions with, or perform services for us or our subsidiaries in the ordinary course of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and agents that participate in the distribution of the securities may be underwriters as defined in the Securities Act, and any discounts or commissions received by them from us and any profit on the resale of the securities by them may be treated as underwriting discounts and commissions under the Securities Act. Any underwriters, dealers or agents used in the offer or sale of securities will be identified and their compensation described in an applicable prospectus supplement.</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6" w:name="sq_008"/>
      <w:bookmarkEnd w:id="16"/>
      <w:r>
        <w:rPr>
          <w:rFonts w:ascii="Times New Roman;Times;Serif" w:hAnsi="Times New Roman;Times;Serif"/>
          <w:b/>
          <w:i w:val="false"/>
          <w:caps/>
          <w:sz w:val="20"/>
        </w:rPr>
        <w:t>EXPENSES RELATED TO THE OFFERING</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an SEC registration fee of US$13,810, and will also incur printing costs, legal fees and expenses, accounting fees and expenses, and other listing and qualifications fees in connection with the offering of securities. Expenses of any of the securities offered by this prospectus will be set forth in the applicable prospectus supplement(s) relating to the offering of those securities.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7" w:name="sq_009"/>
      <w:bookmarkEnd w:id="17"/>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represented by Skadden, Arps, Slate, Meagher &amp; Flom LLP with respect to certain legal matters as to United States federal securities and New York State law. Maples and Calder (Hong Kong) LLP has advised us on certain legal matters as to Cayman Islands law including the issuance of the securities offered by this prospectus and Han Kun Law Offices has advised us on certain legal matters as to the law of mainland China.</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8" w:name="sq_010"/>
      <w:bookmarkEnd w:id="18"/>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in this prospectus by reference from our annual report on Form 20-F for the year ended December 31, 2025, have been audited by WWC, P.C., an independent registered public accounting firm, incorporated by reference herein, and upon the authority of said firm as experts in accounting and auditing.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offices of WWC, P.C. are located at 2010 Pioneer Court, San Mateo, CA 94403.</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9" w:name="sq_011"/>
      <w:bookmarkEnd w:id="19"/>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All information filed with the SEC can be obtained over the internet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As a foreign private issuer, we are exempt from the rules under the Exchange Act prescribing the furnishing and content of quarterly reports and proxy statements, our officers and directors are exempt from the short-swing rules contained in Section 16 of the Exchange Act, and our principal shareholders are exempt from the reporting and short-swing rules contained in Section 16 of the Exchange Act. In addition, we are not required under the Exchange Act to file periodic reports and financial statements with the SEC as frequently or as promptly as U.S. companies whose securities are registered under the Exchange Act. You can also find information on our website </w:t>
      </w:r>
      <w:r>
        <w:rPr>
          <w:rFonts w:ascii="Times New Roman;Times;Serif" w:hAnsi="Times New Roman;Times;Serif"/>
          <w:b w:val="false"/>
          <w:i/>
          <w:caps w:val="false"/>
          <w:smallCaps w:val="false"/>
          <w:sz w:val="20"/>
        </w:rPr>
        <w:t>https://viomi.com/</w:t>
      </w:r>
      <w:r>
        <w:rPr>
          <w:rFonts w:ascii="Times New Roman;Times;Serif" w:hAnsi="Times New Roman;Times;Serif"/>
          <w:b w:val="false"/>
          <w:i w:val="false"/>
          <w:caps w:val="false"/>
          <w:smallCaps w:val="false"/>
          <w:sz w:val="20"/>
        </w:rPr>
        <w:t>. The information contained on our website is not a part of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0" w:name="sq_012"/>
      <w:bookmarkEnd w:id="20"/>
      <w:r>
        <w:rPr>
          <w:rFonts w:ascii="Times New Roman;Times;Serif" w:hAnsi="Times New Roman;Times;Serif"/>
          <w:b/>
          <w:i w:val="false"/>
          <w:caps/>
          <w:sz w:val="20"/>
        </w:rPr>
        <w:t>INCORPORATION OF CERTAIN DOCUMENTS BY REFERENCE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or between information incorporated by reference into this prospectus from different documents, you should rely on the information contained in the document that was filed later.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fiscal year ended December 31, 2025 filed with the SEC on April 22, 2026 (File No. 001-38649);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securities contained in our registration statement on </w:t>
            </w:r>
            <w:hyperlink r:id="rId4">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with the SEC on September 11, 2018, and any amendment or report filed for the purpose of updating such description;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annual reports on Form 20-F filed with the SEC after the date of this prospectus and prior to the termination of the offering of the securities offered by this prospectus;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periodic reports on Form 6-K that we furnish to the SEC after the date of this prospectus that are identified in such reports as being incorporated by reference in this prospectus.</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Viomi Technology Co.,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Wansheng Square, Rm 1302 Tower C, Xingang East Road, Haizhu District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Guangdong, 510220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ir@viomi.com</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articles of association may provide for indemnification of directors and officers, except to the extent any such provision may be held by the Cayman Islands courts to be contrary to public policy, such as to provide indemnification against civil fraud or the consequences of committing a crime. The Registrant’s second amended and restated articles of association, adopted by a special resolution passed on August 23, 2018 and effective on September 24, 2018, provides that the Registrant shall indemnify and secure its directors and officers from and against all actions, proceedings, costs, charges, expenses, losses, damages or liabilities incurred or sustained by the directors and officers, other than by reason of such person’s own dishonesty, willful default or fraud, in or about the conduct of the Registrant’s business or affairs (including as a result of any mistake of judgment) or in the execution or discharge of his duties, powers, authorities or discretions, including without prejudice to the generality of the foregoing, any costs, expenses, losses or liabilities incurred by such person in defending (whether successfully or otherwise) any civil proceedings concerning the Registrant or its affairs in any court whether in the Cayman Islands or elsewhere.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indemnification agreements, the form of which was filed as Exhibit 10.3 to the Registrant’s registration statement on Form F-1, as amended (File No. 333-227063), the Registrant has agreed to indemnify its directors and officers against certain liabilities and expenses incurred by such persons in connection with claims made by reason of their being such a director or officer.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also maintains a directors and officers liability insurance policy for its directors and officers.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to this registration statement are listed in the Index to Exhibits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UNDERTAKINGS.</w:t>
      </w:r>
    </w:p>
    <w:p>
      <w:pPr>
        <w:pStyle w:val="TextBody"/>
        <w:bidi w:val="0"/>
        <w:spacing w:before="0" w:after="0"/>
        <w:ind w:left="0" w:right="0" w:hanging="0"/>
        <w:jc w:val="lef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245"/>
        <w:gridCol w:w="380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p>
      <w:pPr>
        <w:pStyle w:val="TextBody"/>
        <w:bidi w:val="0"/>
        <w:spacing w:before="0" w:after="0"/>
        <w:ind w:left="720" w:right="0" w:hanging="360"/>
        <w:jc w:val="left"/>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200"/>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(a)(1)(i), (a)(1)(ii) and (a)(1)(iii) do not apply if the information required to be included in a post-effective amendment by those paragraphs is contained in periodic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 (4)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this registration statement.</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368" w:type="dxa"/>
        <w:jc w:val="left"/>
        <w:tblInd w:w="0" w:type="dxa"/>
        <w:tblLayout w:type="fixed"/>
        <w:tblCellMar>
          <w:top w:w="0" w:type="dxa"/>
          <w:left w:w="0" w:type="dxa"/>
          <w:bottom w:w="0" w:type="dxa"/>
          <w:right w:w="0" w:type="dxa"/>
        </w:tblCellMar>
      </w:tblPr>
      <w:tblGrid>
        <w:gridCol w:w="38"/>
        <w:gridCol w:w="245"/>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under the Securities Act to any purchaser:</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filed by the registrant pursuant to Rule 424(b)(3) shall be deemed to be part of the registration statement as of the date the filed prospectus was deemed part of and included in the registration statement;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of the registrant under the Securities Act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prospectus or prospectus of the undersigned registrant relating to the offering required to be filed pursuant to Rule 424;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2" w:type="dxa"/>
            <w:tcBorders/>
            <w:vAlign w:val="center"/>
          </w:tcPr>
          <w:p>
            <w:pPr>
              <w:pStyle w:val="TableContents"/>
              <w:bidi w:val="0"/>
              <w:spacing w:before="0" w:after="283"/>
              <w:jc w:val="left"/>
              <w:rPr>
                <w:caps w:val="false"/>
                <w:smallCaps w:val="false"/>
              </w:rPr>
            </w:pPr>
            <w:r>
              <w:rPr>
                <w:caps w:val="false"/>
                <w:smallCaps w:val="false"/>
              </w:rPr>
              <w:t> </w:t>
            </w:r>
          </w:p>
        </w:tc>
        <w:tc>
          <w:tcPr>
            <w:tcW w:w="98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free writing prospectus relating to the offering prepared by or on behalf of the undersigned registrant or used or referred to by the undersigned registrant;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2" w:type="dxa"/>
            <w:tcBorders/>
            <w:vAlign w:val="center"/>
          </w:tcPr>
          <w:p>
            <w:pPr>
              <w:pStyle w:val="TableContents"/>
              <w:bidi w:val="0"/>
              <w:spacing w:before="0" w:after="283"/>
              <w:jc w:val="left"/>
              <w:rPr>
                <w:caps w:val="false"/>
                <w:smallCaps w:val="false"/>
              </w:rPr>
            </w:pPr>
            <w:r>
              <w:rPr>
                <w:caps w:val="false"/>
                <w:smallCaps w:val="false"/>
              </w:rPr>
              <w:t> </w:t>
            </w:r>
          </w:p>
        </w:tc>
        <w:tc>
          <w:tcPr>
            <w:tcW w:w="98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any other free writing prospectus relating to the offering containing material information about the undersigned registrant or its securities provided by or on behalf of the undersigned registrant;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2" w:type="dxa"/>
            <w:tcBorders/>
            <w:vAlign w:val="center"/>
          </w:tcPr>
          <w:p>
            <w:pPr>
              <w:pStyle w:val="TableContents"/>
              <w:bidi w:val="0"/>
              <w:spacing w:before="0" w:after="283"/>
              <w:jc w:val="left"/>
              <w:rPr>
                <w:caps w:val="false"/>
                <w:smallCaps w:val="false"/>
              </w:rPr>
            </w:pPr>
            <w:r>
              <w:rPr>
                <w:caps w:val="false"/>
                <w:smallCaps w:val="false"/>
              </w:rPr>
              <w:t> </w:t>
            </w:r>
          </w:p>
        </w:tc>
        <w:tc>
          <w:tcPr>
            <w:tcW w:w="98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communication that is an offer in the offering made by the undersigned registrant to the purchaser.</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r>
        <w:trPr/>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100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as amended, and will be governed by the final adjudication of such issue.</w:t>
            </w:r>
          </w:p>
        </w:tc>
      </w:tr>
    </w:tbl>
    <w:p>
      <w:pPr>
        <w:pStyle w:val="TextBody"/>
        <w:bidi w:val="0"/>
        <w:spacing w:before="0" w:after="0"/>
        <w:ind w:left="360" w:right="0" w:hanging="36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4"/>
        <w:gridCol w:w="9191"/>
      </w:tblGrid>
      <w:tr>
        <w:trPr/>
        <w:tc>
          <w:tcPr>
            <w:tcW w:w="1014"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9191" w:type="dxa"/>
            <w:tcBorders/>
            <w:vAlign w:val="center"/>
          </w:tcPr>
          <w:p>
            <w:pPr>
              <w:pStyle w:val="TableContents"/>
              <w:pBdr>
                <w:bottom w:val="single" w:sz="4"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Underwriting Agreement</w:t>
            </w:r>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191"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Second Amended and Restated Memorandum and Articles of Association of the Registrant, effective September 24, 2018 (incorporated herein by reference to Exhibit 3.2 to the Form F-1 filed on August 28, 2018 (File No. 333-227063))</w:t>
              </w:r>
            </w:hyperlink>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191"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Registrant’s Specimen American Depositary Receipt (included in Exhibit 4.3)</w:t>
              </w:r>
            </w:hyperlink>
            <w:r>
              <w:rPr>
                <w:rFonts w:ascii="Times New Roman;Times;Serif" w:hAnsi="Times New Roman;Times;Serif"/>
                <w:b w:val="false"/>
                <w:i w:val="false"/>
                <w:caps w:val="false"/>
                <w:smallCaps w:val="false"/>
                <w:sz w:val="20"/>
              </w:rPr>
              <w:t xml:space="preserve"> </w:t>
            </w:r>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191"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Registrant’s Specimen Certificate for Class A Ordinary Shares (incorporated herein by reference to Exhibit 4.2 to the Form F-1/A filed on September 11, 2018 (File No. 333-227063))</w:t>
              </w:r>
            </w:hyperlink>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191"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Deposit Agreement, among the Registrant, the depositary and holder of the American Depositary Receipts dated September 24, 2018 (incorporated herein by reference to Exhibit 4.3 to the Form S-8 filed on March 22, 2019 (File No. 333-230431))</w:t>
              </w:r>
            </w:hyperlink>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Specimen Certificate for Preferred Shares</w:t>
            </w:r>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Warrant Agreement (including Warrant Certificate)</w:t>
            </w:r>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Subscription Right Agreement (including form of Right Certificate)</w:t>
            </w:r>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Unit Agreement (including form of Unit Certificate)</w:t>
            </w:r>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191"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Maples and Calder (Hong Kong) LLP</w:t>
              </w:r>
            </w:hyperlink>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191"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Maples and Calder (Hong Kong) LLP regarding certain Cayman Islands tax matters (included in Exhibit 5.1)</w:t>
              </w:r>
            </w:hyperlink>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191" w:type="dxa"/>
            <w:tcBorders/>
            <w:vAlign w:val="center"/>
          </w:tcPr>
          <w:p>
            <w:pPr>
              <w:pStyle w:val="TableContents"/>
              <w:bidi w:val="0"/>
              <w:spacing w:before="0" w:after="283"/>
              <w:jc w:val="both"/>
              <w:rPr/>
            </w:pPr>
            <w:hyperlink w:anchor="ex8-2.htm">
              <w:r>
                <w:rPr>
                  <w:rStyle w:val="InternetLink"/>
                  <w:rFonts w:ascii="Times New Roman;Times;Serif" w:hAnsi="Times New Roman;Times;Serif"/>
                  <w:b w:val="false"/>
                  <w:i w:val="false"/>
                  <w:caps w:val="false"/>
                  <w:smallCaps w:val="false"/>
                  <w:sz w:val="20"/>
                </w:rPr>
                <w:t>Opinion of Han Kun Law Offices regarding certain PRC tax matters</w:t>
              </w:r>
            </w:hyperlink>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9191"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WWC, P.C., an independent registered public accounting firm</w:t>
              </w:r>
            </w:hyperlink>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9191"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Maples and Calder (Hong Kong) LLP (included in Exhibit 5.1)</w:t>
              </w:r>
            </w:hyperlink>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9191" w:type="dxa"/>
            <w:tcBorders/>
            <w:vAlign w:val="center"/>
          </w:tcPr>
          <w:p>
            <w:pPr>
              <w:pStyle w:val="TableContents"/>
              <w:bidi w:val="0"/>
              <w:spacing w:before="0" w:after="283"/>
              <w:jc w:val="both"/>
              <w:rPr/>
            </w:pPr>
            <w:hyperlink w:anchor="ex23-3.htm">
              <w:r>
                <w:rPr>
                  <w:rStyle w:val="InternetLink"/>
                  <w:rFonts w:ascii="Times New Roman;Times;Serif" w:hAnsi="Times New Roman;Times;Serif"/>
                  <w:b w:val="false"/>
                  <w:i w:val="false"/>
                  <w:caps w:val="false"/>
                  <w:smallCaps w:val="false"/>
                  <w:sz w:val="20"/>
                </w:rPr>
                <w:t>Consent of Han Kun Law Offices</w:t>
              </w:r>
            </w:hyperlink>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9191" w:type="dxa"/>
            <w:tcBorders/>
            <w:vAlign w:val="center"/>
          </w:tcPr>
          <w:p>
            <w:pPr>
              <w:pStyle w:val="TableContents"/>
              <w:bidi w:val="0"/>
              <w:spacing w:before="0" w:after="283"/>
              <w:jc w:val="both"/>
              <w:rPr/>
            </w:pPr>
            <w:hyperlink w:anchor="POA_001">
              <w:r>
                <w:rPr>
                  <w:rStyle w:val="InternetLink"/>
                  <w:rFonts w:ascii="Times New Roman;Times;Serif" w:hAnsi="Times New Roman;Times;Serif"/>
                  <w:b w:val="false"/>
                  <w:i w:val="false"/>
                  <w:caps w:val="false"/>
                  <w:smallCaps w:val="false"/>
                  <w:sz w:val="20"/>
                </w:rPr>
                <w:t>Power of Attorney (included on signature page of Part II of this Registration Statement)</w:t>
              </w:r>
            </w:hyperlink>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9191" w:type="dxa"/>
            <w:tcBorders/>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Calculation of Filing Fee Table</w:t>
              </w:r>
            </w:hyperlink>
            <w:r>
              <w:rPr>
                <w:rFonts w:ascii="Times New Roman;Times;Serif" w:hAnsi="Times New Roman;Times;Serif"/>
                <w:b w:val="false"/>
                <w:i w:val="false"/>
                <w:caps w:val="false"/>
                <w:smallCaps w:val="false"/>
                <w:sz w:val="20"/>
              </w:rPr>
              <w:t xml:space="preserve">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ind w:left="360" w:right="0" w:hanging="0"/>
        <w:jc w:val="left"/>
        <w:rPr>
          <w:bdr w:val="single" w:sz="8" w:space="1" w:color="000000"/>
        </w:rPr>
      </w:pPr>
      <w:r>
        <w:rPr>
          <w:bdr w:val="single" w:sz="8" w:space="1" w:color="000000"/>
        </w:rPr>
        <w:t> </w:t>
      </w:r>
    </w:p>
    <w:tbl>
      <w:tblPr>
        <w:tblW w:w="9940" w:type="dxa"/>
        <w:jc w:val="left"/>
        <w:tblInd w:w="0" w:type="dxa"/>
        <w:tblLayout w:type="fixed"/>
        <w:tblCellMar>
          <w:top w:w="0" w:type="dxa"/>
          <w:left w:w="0" w:type="dxa"/>
          <w:bottom w:w="0" w:type="dxa"/>
          <w:right w:w="0" w:type="dxa"/>
        </w:tblCellMar>
      </w:tblPr>
      <w:tblGrid>
        <w:gridCol w:w="155"/>
        <w:gridCol w:w="9785"/>
      </w:tblGrid>
      <w:tr>
        <w:trPr/>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 filed by amendment or as an exhibit to a document to be incorporated by reference into this registration statement.</w:t>
            </w:r>
          </w:p>
        </w:tc>
      </w:tr>
      <w:tr>
        <w:trPr/>
        <w:tc>
          <w:tcPr>
            <w:tcW w:w="155"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both"/>
              <w:rPr/>
            </w:pPr>
            <w:r>
              <w:rPr/>
              <w:t> </w:t>
            </w:r>
          </w:p>
        </w:tc>
      </w:tr>
      <w:tr>
        <w:trPr/>
        <w:tc>
          <w:tcPr>
            <w:tcW w:w="155" w:type="dxa"/>
            <w:tcBorders/>
            <w:vAlign w:val="center"/>
          </w:tcPr>
          <w:p>
            <w:pPr>
              <w:pStyle w:val="TableContents"/>
              <w:bidi w:val="0"/>
              <w:spacing w:before="0" w:after="283"/>
              <w:jc w:val="both"/>
              <w:rPr/>
            </w:pPr>
            <w:r>
              <w:rPr/>
              <w:t>†</w:t>
            </w:r>
          </w:p>
        </w:tc>
        <w:tc>
          <w:tcPr>
            <w:tcW w:w="9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with this registration statement on Form F-3.</w:t>
            </w:r>
          </w:p>
        </w:tc>
      </w:tr>
    </w:tbl>
    <w:p>
      <w:pPr>
        <w:pStyle w:val="TextBody"/>
        <w:bidi w:val="0"/>
        <w:spacing w:before="0" w:after="0"/>
        <w:ind w:left="36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Guangzhou, China, on July 9, 2026.</w:t>
      </w:r>
    </w:p>
    <w:p>
      <w:pPr>
        <w:pStyle w:val="TextBody"/>
        <w:bidi w:val="0"/>
        <w:spacing w:before="0" w:after="0"/>
        <w:ind w:left="0" w:right="0" w:firstLine="72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75"/>
        <w:gridCol w:w="650"/>
        <w:gridCol w:w="6125"/>
      </w:tblGrid>
      <w:tr>
        <w:trPr/>
        <w:tc>
          <w:tcPr>
            <w:tcW w:w="75" w:type="dxa"/>
            <w:tcBorders/>
            <w:vAlign w:val="center"/>
          </w:tcPr>
          <w:p>
            <w:pPr>
              <w:pStyle w:val="TableContents"/>
              <w:bidi w:val="0"/>
              <w:spacing w:before="0" w:after="283"/>
              <w:jc w:val="both"/>
              <w:rPr/>
            </w:pPr>
            <w:r>
              <w:rPr/>
              <w:t> </w:t>
            </w:r>
          </w:p>
        </w:tc>
        <w:tc>
          <w:tcPr>
            <w:tcW w:w="67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Viomi Technology Co., Ltd</w:t>
            </w:r>
          </w:p>
        </w:tc>
      </w:tr>
      <w:tr>
        <w:trPr/>
        <w:tc>
          <w:tcPr>
            <w:tcW w:w="75" w:type="dxa"/>
            <w:tcBorders/>
            <w:vAlign w:val="center"/>
          </w:tcPr>
          <w:p>
            <w:pPr>
              <w:pStyle w:val="TableContents"/>
              <w:bidi w:val="0"/>
              <w:spacing w:before="0" w:after="283"/>
              <w:jc w:val="both"/>
              <w:rPr/>
            </w:pPr>
            <w:r>
              <w:rPr/>
              <w:t> </w:t>
            </w:r>
          </w:p>
        </w:tc>
        <w:tc>
          <w:tcPr>
            <w:tcW w:w="677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12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/s/ Xiaoping Chen</w:t>
            </w:r>
          </w:p>
        </w:tc>
      </w:tr>
      <w:tr>
        <w:trPr/>
        <w:tc>
          <w:tcPr>
            <w:tcW w:w="75"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61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Xiaoping Chen</w:t>
            </w:r>
          </w:p>
        </w:tc>
      </w:tr>
      <w:tr>
        <w:trPr/>
        <w:tc>
          <w:tcPr>
            <w:tcW w:w="75"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61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Chairman of the Board of Directors and Chief Executive Officer</w:t>
            </w:r>
          </w:p>
        </w:tc>
      </w:tr>
    </w:tbl>
    <w:p>
      <w:pPr>
        <w:pStyle w:val="TextBody"/>
        <w:bidi w:val="0"/>
        <w:spacing w:before="0" w:after="0"/>
        <w:ind w:left="0" w:right="0" w:firstLine="72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POA_001"/>
      <w:bookmarkEnd w:id="21"/>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Mr. Xiaoping Chen, as his true and lawful attorneys-in-fact and agents, each with full power of substitution and resubstitution, for him and in his name, place and stead, in any and all capacities, to sign any and all amendments (including post-effective amendments) to this registration statement on Form F-3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each such person might or could do in person, hereby ratifying and confirming all that said attorneys-in-fact and agents, or any of them, or their or his substitute or substitutes, may lawfully do or cause to be done by virtue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p>
      <w:pPr>
        <w:pStyle w:val="TextBody"/>
        <w:bidi w:val="0"/>
        <w:spacing w:before="0" w:after="0"/>
        <w:ind w:left="0" w:right="0" w:firstLine="720"/>
        <w:jc w:val="both"/>
        <w:rPr>
          <w:caps w:val="false"/>
          <w:smallCaps w:val="false"/>
        </w:rPr>
      </w:pPr>
      <w:r>
        <w:rPr>
          <w:caps w:val="false"/>
          <w:smallCaps w:val="false"/>
        </w:rPr>
        <w:t> </w:t>
      </w:r>
    </w:p>
    <w:tbl>
      <w:tblPr>
        <w:tblW w:w="7710" w:type="dxa"/>
        <w:jc w:val="left"/>
        <w:tblInd w:w="0" w:type="dxa"/>
        <w:tblLayout w:type="fixed"/>
        <w:tblCellMar>
          <w:top w:w="0" w:type="dxa"/>
          <w:left w:w="0" w:type="dxa"/>
          <w:bottom w:w="0" w:type="dxa"/>
          <w:right w:w="0" w:type="dxa"/>
        </w:tblCellMar>
      </w:tblPr>
      <w:tblGrid>
        <w:gridCol w:w="1520"/>
        <w:gridCol w:w="60"/>
        <w:gridCol w:w="5030"/>
        <w:gridCol w:w="60"/>
        <w:gridCol w:w="1040"/>
      </w:tblGrid>
      <w:tr>
        <w:trPr/>
        <w:tc>
          <w:tcPr>
            <w:tcW w:w="152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CAPACITY</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Xiaoping Chen</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tc>
      </w:tr>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Xiaoping Chen</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 and Principal Financial Officer)</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Qian Sun</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tc>
      </w:tr>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Qian Sun</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Jinling Zhang</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tc>
      </w:tr>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Jinling Zhang</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Weijiang Wu</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tc>
      </w:tr>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Weijiang Wu</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Jun Li</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tc>
      </w:tr>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 Li</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OF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as amended, the undersigned, the duly authorized representative in the United States of Viomi Technology Co., Ltd has signed this registration statement or amendment thereto in Newark, Delaware on July 9, 2026.</w:t>
      </w:r>
    </w:p>
    <w:p>
      <w:pPr>
        <w:pStyle w:val="TextBody"/>
        <w:bidi w:val="0"/>
        <w:spacing w:before="0" w:after="0"/>
        <w:ind w:left="0" w:right="0" w:firstLine="72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75"/>
        <w:gridCol w:w="650"/>
        <w:gridCol w:w="1970"/>
      </w:tblGrid>
      <w:tr>
        <w:trPr/>
        <w:tc>
          <w:tcPr>
            <w:tcW w:w="75" w:type="dxa"/>
            <w:tcBorders/>
            <w:vAlign w:val="center"/>
          </w:tcPr>
          <w:p>
            <w:pPr>
              <w:pStyle w:val="TableContents"/>
              <w:bidi w:val="0"/>
              <w:spacing w:before="0" w:after="283"/>
              <w:jc w:val="left"/>
              <w:rPr/>
            </w:pPr>
            <w:r>
              <w:rPr/>
              <w:t> </w:t>
            </w:r>
          </w:p>
        </w:tc>
        <w:tc>
          <w:tcPr>
            <w:tcW w:w="26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U.S. Representative</w:t>
            </w:r>
          </w:p>
        </w:tc>
      </w:tr>
      <w:tr>
        <w:trPr/>
        <w:tc>
          <w:tcPr>
            <w:tcW w:w="75" w:type="dxa"/>
            <w:tcBorders/>
            <w:vAlign w:val="center"/>
          </w:tcPr>
          <w:p>
            <w:pPr>
              <w:pStyle w:val="TableContents"/>
              <w:bidi w:val="0"/>
              <w:spacing w:before="0" w:after="283"/>
              <w:jc w:val="left"/>
              <w:rPr/>
            </w:pPr>
            <w:r>
              <w:rPr/>
              <w:t> </w:t>
            </w:r>
          </w:p>
        </w:tc>
        <w:tc>
          <w:tcPr>
            <w:tcW w:w="262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20"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Puglisi &amp; Associates</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/s/ Donald J. Puglisi</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19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Donald J. Puglisi</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19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Managing Director</w:t>
            </w:r>
          </w:p>
        </w:tc>
      </w:tr>
    </w:tbl>
    <w:p>
      <w:pPr>
        <w:pStyle w:val="TextBody"/>
        <w:bidi w:val="0"/>
        <w:spacing w:before="0" w:after="0"/>
        <w:ind w:left="5040" w:right="0" w:hanging="0"/>
        <w:jc w:val="left"/>
        <w:rPr>
          <w:rFonts w:ascii="Times New Roman;Times;Serif" w:hAnsi="Times New Roman;Times;Serif"/>
          <w:b/>
        </w:rPr>
      </w:pPr>
      <w:r>
        <w:rPr>
          <w:rFonts w:ascii="Times New Roman;Times;Serif" w:hAnsi="Times New Roman;Times;Serif"/>
          <w:b/>
        </w:rPr>
      </w:r>
    </w:p>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spacing w:before="0" w:after="0"/>
        <w:ind w:left="0" w:right="0" w:hanging="0"/>
        <w:jc w:val="left"/>
        <w:rPr>
          <w:caps w:val="false"/>
          <w:smallCaps w:val="false"/>
        </w:rPr>
      </w:pPr>
      <w:bookmarkStart w:id="22" w:name="ex5-1.htm"/>
      <w:bookmarkStart w:id="23" w:name="ksex5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14400" cy="866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914400" cy="8667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665"/>
        <w:gridCol w:w="2885"/>
      </w:tblGrid>
      <w:tr>
        <w:trPr/>
        <w:tc>
          <w:tcPr>
            <w:tcW w:w="6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ref</w:t>
            </w:r>
          </w:p>
        </w:tc>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VSL/743327-000003/86911523v2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Wansheng Square, Rm 1302 Tower C</w:t>
        <w:br/>
        <w:t>Xingang East Road, Haizhu District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Guangdong, 510220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July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Cayman Islands legal advisers to Viomi Technology Co.,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Company’s registration statement on Form F-3, including all amendments or supplements thereto, filed with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under the United States Securities Act of 1933, as amended (including its exhibits,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relating to securities to be issued and sold by the Company, on a delayed or continuous basis, from time to time in one or more offerings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up to US$100 million of any combination, together or separately, of the following securities:</w:t>
      </w:r>
    </w:p>
    <w:p>
      <w:pPr>
        <w:pStyle w:val="TextBody"/>
        <w:bidi w:val="0"/>
        <w:spacing w:before="0" w:after="0"/>
        <w:ind w:left="0" w:right="0" w:hanging="0"/>
        <w:jc w:val="both"/>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185"/>
        <w:gridCol w:w="878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of the Company of par value of US$0.00001 each (the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200"/>
        <w:gridCol w:w="8090"/>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preferred shares of the Company of par value of US$0.00001 each (the “</w:t>
            </w:r>
            <w:r>
              <w:rPr>
                <w:rFonts w:ascii="Times New Roman;Times;Serif" w:hAnsi="Times New Roman;Times;Serif"/>
                <w:b/>
                <w:i w:val="false"/>
                <w:caps w:val="false"/>
                <w:smallCaps w:val="false"/>
                <w:sz w:val="20"/>
              </w:rPr>
              <w:t>Preferred Shares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the Class A Ordinary Shares, the Preferred Shares, or any combination of these securities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to be issued under warrant agreements to be entered into by the Company and warrant agents, if any, for such Warrants thereunder (the “</w:t>
            </w:r>
            <w:r>
              <w:rPr>
                <w:rFonts w:ascii="Times New Roman;Times;Serif" w:hAnsi="Times New Roman;Times;Serif"/>
                <w:b/>
                <w:i w:val="false"/>
                <w:caps w:val="false"/>
                <w:smallCaps w:val="false"/>
                <w:sz w:val="20"/>
              </w:rPr>
              <w:t>Warrant Agreements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rights to purchase the Class A Ordinary Shares, the Preferred Shares, or other securities (the “</w:t>
            </w:r>
            <w:r>
              <w:rPr>
                <w:rFonts w:ascii="Times New Roman;Times;Serif" w:hAnsi="Times New Roman;Times;Serif"/>
                <w:b/>
                <w:i w:val="false"/>
                <w:caps w:val="false"/>
                <w:smallCaps w:val="false"/>
                <w:sz w:val="20"/>
              </w:rPr>
              <w:t>Subscription Rights</w:t>
            </w:r>
            <w:r>
              <w:rPr>
                <w:rFonts w:ascii="Times New Roman;Times;Serif" w:hAnsi="Times New Roman;Times;Serif"/>
                <w:b w:val="false"/>
                <w:i w:val="false"/>
                <w:caps w:val="false"/>
                <w:smallCaps w:val="false"/>
                <w:sz w:val="20"/>
              </w:rPr>
              <w:t>”) to be issued under standby underwriting agreements to be entered into among the Company and one or more underwriters, if any, or rights agreements to be entered into among the Company and a rights agent, if any, for such Subscription Rights thereunder (the “</w:t>
            </w:r>
            <w:r>
              <w:rPr>
                <w:rFonts w:ascii="Times New Roman;Times;Serif" w:hAnsi="Times New Roman;Times;Serif"/>
                <w:b/>
                <w:i w:val="false"/>
                <w:caps w:val="false"/>
                <w:smallCaps w:val="false"/>
                <w:sz w:val="20"/>
              </w:rPr>
              <w:t>Subscription Rights Agreements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comprising of one or more of the Company’s securities (the “</w:t>
            </w:r>
            <w:r>
              <w:rPr>
                <w:rFonts w:ascii="Times New Roman;Times;Serif" w:hAnsi="Times New Roman;Times;Serif"/>
                <w:b/>
                <w:i w:val="false"/>
                <w:caps w:val="false"/>
                <w:smallCaps w:val="false"/>
                <w:sz w:val="20"/>
              </w:rPr>
              <w:t>Units</w:t>
            </w:r>
            <w:r>
              <w:rPr>
                <w:rFonts w:ascii="Times New Roman;Times;Serif" w:hAnsi="Times New Roman;Times;Serif"/>
                <w:b w:val="false"/>
                <w:i w:val="false"/>
                <w:caps w:val="false"/>
                <w:smallCaps w:val="false"/>
                <w:sz w:val="20"/>
              </w:rPr>
              <w:t>”) to be issued under unit agreements to be entered into between the Company and the unitholder for such Units thereunder (the “</w:t>
            </w:r>
            <w:r>
              <w:rPr>
                <w:rFonts w:ascii="Times New Roman;Times;Serif" w:hAnsi="Times New Roman;Times;Serif"/>
                <w:b/>
                <w:i w:val="false"/>
                <w:caps w:val="false"/>
                <w:smallCaps w:val="false"/>
                <w:sz w:val="20"/>
              </w:rPr>
              <w:t>Unit Agreements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as Exhibits 5.1, 8.1 and 23.2 to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140"/>
        <w:gridCol w:w="182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8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Reviewed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opinion, we have reviewed only originals, copies or final drafts of the following documents: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of the Company dated 21 January 2015 issued by the Registrar of Companies in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amended and restated memorandum and articles of association adopted pursuant to a special resolution passed on 23 August 2018 and effective immediately prior to the completion of the initial public offering of the Company’s American depositary shares representing its Class A Ordinary Shares (the “</w:t>
            </w:r>
            <w:r>
              <w:rPr>
                <w:rFonts w:ascii="Times New Roman;Times;Serif" w:hAnsi="Times New Roman;Times;Serif"/>
                <w:b/>
                <w:i w:val="false"/>
                <w:caps w:val="false"/>
                <w:smallCaps w:val="false"/>
                <w:sz w:val="20"/>
              </w:rPr>
              <w:t>Memorandum and Articles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unanimous written resolutions of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dated 9 July 2026 (the “</w:t>
            </w:r>
            <w:r>
              <w:rPr>
                <w:rFonts w:ascii="Times New Roman;Times;Serif" w:hAnsi="Times New Roman;Times;Serif"/>
                <w:b/>
                <w:i w:val="false"/>
                <w:caps w:val="false"/>
                <w:smallCaps w:val="false"/>
                <w:sz w:val="20"/>
              </w:rPr>
              <w:t>Board Resolutions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certificate of good standing with respect to the Company issued by the Registrar of Companies dated 24 June 2026 (the “</w:t>
            </w:r>
            <w:r>
              <w:rPr>
                <w:rFonts w:ascii="Times New Roman;Times;Serif" w:hAnsi="Times New Roman;Times;Serif"/>
                <w:b/>
                <w:i w:val="false"/>
                <w:caps w:val="false"/>
                <w:smallCaps w:val="false"/>
                <w:sz w:val="20"/>
              </w:rPr>
              <w:t>Certificate of Good Standing</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certificate from a director of the Company a copy of which is attached to this opinion letter (the “</w:t>
            </w:r>
            <w:r>
              <w:rPr>
                <w:rFonts w:ascii="Times New Roman;Times;Serif" w:hAnsi="Times New Roman;Times;Serif"/>
                <w:b/>
                <w:i w:val="false"/>
                <w:caps w:val="false"/>
                <w:smallCaps w:val="false"/>
                <w:sz w:val="20"/>
              </w:rPr>
              <w:t>Director’s Certificate</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290"/>
        <w:gridCol w:w="23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w:t>
            </w:r>
          </w:p>
        </w:tc>
      </w:tr>
    </w:tbl>
    <w:p>
      <w:pPr>
        <w:pStyle w:val="TextBody"/>
        <w:bidi w:val="0"/>
        <w:spacing w:before="0" w:after="0"/>
        <w:ind w:left="720" w:right="0" w:hanging="720"/>
        <w:jc w:val="both"/>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140"/>
        <w:gridCol w:w="110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1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documents, conformed copies or drafts of documents provided to us are true and complete copies of, or in the final forms of, the originals.</w:t>
            </w:r>
          </w:p>
        </w:tc>
      </w:tr>
    </w:tbl>
    <w:p>
      <w:pPr>
        <w:pStyle w:val="TextBody"/>
        <w:bidi w:val="0"/>
        <w:spacing w:before="0" w:after="0"/>
        <w:ind w:left="720" w:right="0" w:hanging="72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290"/>
        <w:gridCol w:w="36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signatures, initials and seals are genuine.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contractual or other prohibition or restriction (other than as arising under Cayman Islands law) binding on the Company prohibiting or restricting it from offering, selling or issuing the Securities, entering into and performing its obligations under the Registration Statement and duly authorised, executed and delivered Securities Documents (as defined below).</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have sufficient Class A Ordinary Shares and Preferred Shares, as the case may be, authorised for issue under the Memorandum and Articles at the time of issuance of the Securities.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and the Warrant Agreements, the Subscription Rights and the Subscription Rights Agreements, and the Units and the Unit Agreements (together, the “</w:t>
            </w:r>
            <w:r>
              <w:rPr>
                <w:rFonts w:ascii="Times New Roman;Times;Serif" w:hAnsi="Times New Roman;Times;Serif"/>
                <w:b/>
                <w:i w:val="false"/>
                <w:caps w:val="false"/>
                <w:smallCaps w:val="false"/>
                <w:sz w:val="20"/>
              </w:rPr>
              <w:t>Securities Documents</w:t>
            </w:r>
            <w:r>
              <w:rPr>
                <w:rFonts w:ascii="Times New Roman;Times;Serif" w:hAnsi="Times New Roman;Times;Serif"/>
                <w:b w:val="false"/>
                <w:i w:val="false"/>
                <w:caps w:val="false"/>
                <w:smallCaps w:val="false"/>
                <w:sz w:val="20"/>
              </w:rPr>
              <w:t>”) will be authorised and duly executed and unconditionally delivered by or on behalf of all relevant parties in accordance with all relevant laws.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Documents are, or will be, legal, valid, binding and enforceable against all relevant parties in accordance with their terms under the laws of the State of New York and all other relevant laws (other than, with respect to the Company, the laws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the laws of the State of New York as the governing law of the Securities Documents, will be made in good faith and would be regarded as a valid and binding selection which will be upheld by the courts of the State of New York and any other relevant jurisdiction (other than the Cayman Islands) as a matter of the laws of the State of New York and all other relevant laws (other than the laws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capacity, power, authority and legal right of all parties under all relevant laws and regulations (other than, with respect to the Company, the laws and regulations of the Cayman Islands) to enter into, execute, unconditionally deliver and perform their respective obligations under the Securities Documents.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the Subscription Rights and the Units will respectively be issued and authenticated as required in accordance with the provisions of a duly authorised, executed and delivered Warrant Agreements, Subscription Rights Agreements and Unit Agreements.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Documents will be, or have been, duly executed and delivered by an authorised person of the parties thereto.</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monies paid to or for the account of any party under the Securities Documents or any property received or disposed of by any party to the Securities Documents in each case in connection with the Securities Documents or the consummation of the transactions contemplated thereby represent or will represent proceeds of criminal conduct or criminal property or terrorist property (as defined in the Proceeds of Crime Act (As Revised) and the Terrorism Act (As Revised), respectively).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nothing contained in the minute book or corporate records of the Company (which, other than the records set out in paragraphs 1.1 to 1.4 of the opinion letter, we have not inspected) which would or might affect the opinions set out below.</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nothing under any law (other than the law of the Cayman Islands) which would or might affect the opinions set out below.</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sale, and issue of Securities under and pursuant to the Registration Statement will be of commercial benefit to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invitation has been or will be made by or on behalf of the Company to the public in the Cayman Islands to subscribe for any of the Securities.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receive money or money’s worth in consideration for the issue of the Class A Ordinary Shares and the Preferred Shares, and none of the Class A Ordinary Shares or the Preferred Shares will be issued for less than their par value.</w:t>
            </w:r>
          </w:p>
        </w:tc>
      </w:tr>
    </w:tbl>
    <w:p>
      <w:pPr>
        <w:pStyle w:val="TextBody"/>
        <w:bidi w:val="0"/>
        <w:spacing w:before="0" w:after="0"/>
        <w:ind w:left="720" w:right="0" w:hanging="720"/>
        <w:jc w:val="both"/>
        <w:rPr>
          <w:caps w:val="false"/>
          <w:smallCaps w:val="false"/>
        </w:rPr>
      </w:pPr>
      <w:r>
        <w:rPr>
          <w:caps w:val="false"/>
          <w:smallCaps w:val="false"/>
        </w:rPr>
        <w:t> </w:t>
      </w:r>
    </w:p>
    <w:tbl>
      <w:tblPr>
        <w:tblW w:w="865" w:type="dxa"/>
        <w:jc w:val="left"/>
        <w:tblInd w:w="0" w:type="dxa"/>
        <w:tblLayout w:type="fixed"/>
        <w:tblCellMar>
          <w:top w:w="0" w:type="dxa"/>
          <w:left w:w="0" w:type="dxa"/>
          <w:bottom w:w="0" w:type="dxa"/>
          <w:right w:w="0" w:type="dxa"/>
        </w:tblCellMar>
      </w:tblPr>
      <w:tblGrid>
        <w:gridCol w:w="140"/>
        <w:gridCol w:w="72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7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set out below and having regard to such legal considerations as we deem relevant, we are of the opinion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been duly incorporated as an exempted company with limited liability and is validly existing and in good standing with the Registrar of Companies under the laws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authorised share capital of the Company is US$50,000 consisting of 5,000,000,000 shares of a par value of US$0.00001 each, consisting of 4,800,000,000 Class A Ordinary Shares, 150,000,000 Class B Ordinary Shares and 50,000,000 shares of a par value of US$0.00001 each of such class or classes (however designated) as the board of directors may determine in accordance with the Memorandum and Articles.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Class A Ordinary Shares and the Preferred Shares, when (i) the Board has taken all necessary corporate action to approve the issue thereof, the terms of the offering thereof and related matters; (ii) the issue of such Class A Ordinary Shares or Preferred Shares has been recorded in the Company’s register of members (shareholders); and (iii) the subscription price of such Class A Ordinary Shares or Preferred Shares, (being not less than the par value of the Class A Ordinary Shares or Preferred Shares, as the case may be) has been fully paid in cash or other consideration approved by the Board, the Class A Ordinary Shares or Preferred Shares will be duly authorised, validly issued, fully paid and non-assessable.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each issue of Warrants, when (i) the Board has taken all necessary corporate action to approve the creation and terms of the Warrants and to approve the issue thereof, the terms of the offering thereof and related matters; (ii) a Warrant Agreement relating to the Warrants shall have been duly authorised and validly executed and delivered by the Company and the warrant agent thereunder; and (iii) the certificates representing the Warrants have been duly executed, countersigned, registered and delivered in accordance with the Warrant Agreements relating to the Warrants and the applicable definitive purchase, underwriting or similar agreement approved by the Board upon payment of the consideration therefor provided therein, the Warrants will be duly authorised, executed, issued and delivered, and constitute legal and binding obligations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each issue of the Subscription Rights, when (i) the Board has taken all necessary corporate action to approve the creation and terms of the Subscription Rights and to approve the issue thereof, the terms of the offering thereof and related matters; (ii) a Subscription Rights Agreement relating to the Subscription Rights and the Subscription Rights shall have been authorised and duly executed and delivered by and on behalf of the Company and all the relevant parties thereunder in accordance with all relevant laws; and (iii) the certificates representing the Subscription Rights have been duly executed, countersigned, registered and delivered in accordance with the Subscription Rights Agreements relating to the Subscription Rights and the applicable definitive purchase, underwriting or similar agreement approved by the Board upon payment of the consideration therefor provided therein, the Subscription Rights will be duly authorised, legal and binding obligations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each issue of the Units, when (i) the Board has taken all necessary corporate action to approve the creation and terms of the Units and to approve the issue thereof, the terms of the offering thereof and related matters; (ii) a Unit Agreement relating to the Units and the Units shall have been authorised and duly executed and delivered by and on behalf of the Company and all the relevant parties thereunder in accordance with all relevant laws; and (iii) when such Units issued thereunder have been duly executed and delivered on behalf of the Company and authenticated in the manner set forth in the Unit Agreements relating to such issue of Units and delivered against due payment therefor pursuant to, and in accordance with, the terms of the Registration Statement and any relevant prospectus supplement, such Units issued pursuant to the Unit Agreements will be duly executed, issued and delivered, and constitute legal and binding obligations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under the caption “Enforcement of Civil Liabilities” and “Taxation” in the prospectus forming part of the Registration Statement are accurate in so far as such statements are summaries of or relate to Cayman Islands law, and such statements constitute our opinion.</w:t>
            </w:r>
          </w:p>
        </w:tc>
      </w:tr>
    </w:tbl>
    <w:p>
      <w:pPr>
        <w:pStyle w:val="TextBody"/>
        <w:bidi w:val="0"/>
        <w:spacing w:before="0" w:after="0"/>
        <w:ind w:left="72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140"/>
        <w:gridCol w:w="123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2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Qualifications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above are subject to the following qualifications: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maintain the Company in good standing with the Registrar of Companies under the laws of the Cayman Islands, annual filing fees must be paid and returns made to the Registrar of Companies within the time frame prescribed by law.</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assumed by the Company under the Warrant Agreements, the Subscription Rights Agreements and the Units Agreements will not necessarily be enforceable in all circumstances in accordance with their terms. In particular: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enforcement may be limited by bankruptcy, insolvency, liquidation, reorganisation, readjustment of debts or moratorium or other laws of general application relating to, protecting or affecting the rights of creditors and/or contributories;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enforcement may be limited by general principles of equity. For example, equitable remedies such as specific performance may not be available,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where damages are considered to be an adequate remedy;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claims may become barred under relevant statutes of limitation or may be or become subject to defences of set off, counterclaim, estoppel and similar defences;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obligations are to be performed in a jurisdiction outside the Cayman Islands, they may not be enforceable in the Cayman Islands to the extent that performance would be illegal under the laws of that jurisdiction;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courts of the Cayman Islands have jurisdiction to give judgment in the currency of the relevant obligation and statutory rates of interest payable upon judgments will vary according to the currency of the judgment. If the Company becomes insolvent and is made subject to a liquidation proceeding, the courts of the Cayman Islands will require all debts to be proved in a common currency, which is likely to be the “functional currency” of the Company determined in accordance with applicable accounting principles. Currency indemnity provisions have not been tested, so far as we are aware, in the courts of the Cayman Islands;</w:t>
            </w:r>
          </w:p>
        </w:tc>
      </w:tr>
    </w:tbl>
    <w:p>
      <w:pPr>
        <w:pStyle w:val="TextBody"/>
        <w:bidi w:val="0"/>
        <w:spacing w:before="0" w:after="0"/>
        <w:ind w:left="1440" w:right="0" w:hanging="720"/>
        <w:jc w:val="both"/>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38"/>
        <w:gridCol w:w="200"/>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5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arrangements that constitute penalties will not be enforceable;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enforcement may be prevented by reason of fraud, coercion, duress, undue influence, misrepresentation, public policy or mistake or limited by the doctrine of frustration of contracts;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imposing confidentiality obligations may be overridden by compulsion of applicable law or the requirements of legal and/or regulatory process;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courts of the Cayman Islands may decline to exercise jurisdiction in relation to substantive proceedings brought in matters where they determine that such proceedings may be tried in a more appropriate forum;</w:t>
            </w:r>
          </w:p>
        </w:tc>
      </w:tr>
    </w:tbl>
    <w:p>
      <w:pPr>
        <w:pStyle w:val="TextBody"/>
        <w:bidi w:val="0"/>
        <w:spacing w:before="0" w:after="0"/>
        <w:ind w:left="144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100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our opinion as to the enforceability of the relevant provisions of the documents to the extent that they purport to grant exclusive jurisdiction as there may be circumstances in which the courts of the Cayman Islands would accept jurisdiction notwithstanding such provisions;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cannot, by agreement or in its articles of association, restrict the exercise of a statutory power and there is doubt as to the enforceability of any provision in Warrant Agreements, the Subscription Rights Agreements and the Unit Agreements whereby the Company covenants to restrict the exercise of powers specifically given to it under the Companies Act (As Revised) of the Cayman Islands (the “</w:t>
            </w:r>
            <w:r>
              <w:rPr>
                <w:rFonts w:ascii="Times New Roman;Times;Serif" w:hAnsi="Times New Roman;Times;Serif"/>
                <w:b/>
                <w:i w:val="false"/>
                <w:caps w:val="false"/>
                <w:smallCaps w:val="false"/>
                <w:sz w:val="20"/>
              </w:rPr>
              <w:t>Companies Act</w:t>
            </w:r>
            <w:r>
              <w:rPr>
                <w:rFonts w:ascii="Times New Roman;Times;Serif" w:hAnsi="Times New Roman;Times;Serif"/>
                <w:b w:val="false"/>
                <w:i w:val="false"/>
                <w:caps w:val="false"/>
                <w:smallCaps w:val="false"/>
                <w:sz w:val="20"/>
              </w:rPr>
              <w:t>”), including, without limitation, the power to increase its authorised share capital, amend its memorandum and articles of association or present a petition to a Cayman Islands court for an order to wind up the Company;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100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enforcement or performance of any provision in the documents which relates, directly or indirectly, to an interest in the Company constituting shares, voting rights or ultimate effective control over management in the Company may be prohibited or restricted if any such relevant interest is or becomes subject to a restrictions notice issued under the Beneficial Ownership Transparency Act (As Revised) (the “</w:t>
            </w:r>
            <w:r>
              <w:rPr>
                <w:rFonts w:ascii="Times New Roman;Times;Serif" w:hAnsi="Times New Roman;Times;Serif"/>
                <w:b/>
                <w:i w:val="false"/>
                <w:caps w:val="false"/>
                <w:smallCaps w:val="false"/>
                <w:sz w:val="20"/>
              </w:rPr>
              <w:t>BOT Act</w:t>
            </w:r>
            <w:r>
              <w:rPr>
                <w:rFonts w:ascii="Times New Roman;Times;Serif" w:hAnsi="Times New Roman;Times;Serif"/>
                <w:b w:val="false"/>
                <w:i w:val="false"/>
                <w:caps w:val="false"/>
                <w:smallCaps w:val="false"/>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as to the meaning, validity or effect of any references to foreign (i.e. non-Cayman Islands) statutes, rules, regulations, codes, judicial authority or any other promulgations and any references to them in the Securities Documents.</w:t>
            </w:r>
          </w:p>
        </w:tc>
      </w:tr>
    </w:tbl>
    <w:p>
      <w:pPr>
        <w:pStyle w:val="TextBody"/>
        <w:bidi w:val="0"/>
        <w:spacing w:before="0" w:after="0"/>
        <w:ind w:left="720" w:right="0" w:hanging="720"/>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290"/>
        <w:gridCol w:w="94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reviewed the final form of any of the Securities Documents, and our opinions are qualified accordingly.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our opinion as to the extent to which the courts of the Cayman Islands would, in the event of any relevant illegality or invalidity, sever the relevant provisions of the Securities Documents and enforce the remainder or the transaction of which such provisions form a part, notwithstanding any express provisions in this regard.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the register of members of a Cayman Islands company is by statute regarded as prima facie evidence of any matters which the Companies Act directs or authorises to be inserted in it. A third party interest in the shares in question would not appear. An entry in the register of members may yield to a court order for rectification (for example, in the event of fraud or manifest error).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opinion the phrase “non-assessable” means, with respect to the shares in the Company, that a shareholder shall not, solely by virtue of its status as a shareholder, and in absence of a contractual arrangement, or an obligation pursuant to the memorandum and articles of association, to the contrary,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view as to the commercial terms of the Securities Documents or whether such terms represent the intentions of the parties and make no comment with regard to warranties or representations that may be made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in this opinion letter are strictly limited to the matters contained in the opinions section above and do not extend to any other matters. We have not been asked to review and we therefore have not reviewed any of the ancillary documents relating to the Securities Documents and express no opinion or observation upon the terms of any such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name under the heading “Enforceability of Civil Liabilities”, “Taxation” and “Legal Matters” and elsewhere in the prospectus included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pStyle w:val="TextBody"/>
        <w:bidi w:val="0"/>
        <w:spacing w:before="0" w:after="0"/>
        <w:ind w:left="0" w:right="0" w:hanging="0"/>
        <w:jc w:val="both"/>
        <w:rPr>
          <w:caps w:val="false"/>
          <w:smallCaps w:val="false"/>
        </w:rPr>
      </w:pPr>
      <w:r>
        <w:rPr>
          <w:caps w:val="false"/>
          <w:smallCaps w:val="false"/>
        </w:rPr>
        <w:t> </w:t>
      </w:r>
    </w:p>
    <w:tbl>
      <w:tblPr>
        <w:tblW w:w="3380" w:type="dxa"/>
        <w:jc w:val="left"/>
        <w:tblInd w:w="0" w:type="dxa"/>
        <w:tblLayout w:type="fixed"/>
        <w:tblCellMar>
          <w:top w:w="0" w:type="dxa"/>
          <w:left w:w="0" w:type="dxa"/>
          <w:bottom w:w="0" w:type="dxa"/>
          <w:right w:w="0" w:type="dxa"/>
        </w:tblCellMar>
      </w:tblPr>
      <w:tblGrid>
        <w:gridCol w:w="3305"/>
        <w:gridCol w:w="75"/>
      </w:tblGrid>
      <w:tr>
        <w:trPr/>
        <w:tc>
          <w:tcPr>
            <w:tcW w:w="3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Maples and Calder (Hong Kong) LLP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Certificate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4" w:name="ex8-2.htm"/>
      <w:bookmarkStart w:id="25" w:name="ksex82"/>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8.2</w:t>
      </w:r>
    </w:p>
    <w:p>
      <w:pPr>
        <w:pStyle w:val="TextBody"/>
        <w:bidi w:val="0"/>
        <w:spacing w:before="0" w:after="0"/>
        <w:ind w:left="0" w:right="0" w:hanging="0"/>
        <w:jc w:val="left"/>
        <w:rPr>
          <w:caps w:val="false"/>
          <w:smallCaps w:val="false"/>
        </w:rPr>
      </w:pPr>
      <w:r>
        <w:rPr>
          <w:caps w:val="false"/>
          <w:smallCaps w:val="false"/>
        </w:rPr>
        <w:t> </w:t>
      </w:r>
    </w:p>
    <w:tbl>
      <w:tblPr>
        <w:tblW w:w="9135" w:type="dxa"/>
        <w:jc w:val="left"/>
        <w:tblInd w:w="0" w:type="dxa"/>
        <w:tblLayout w:type="fixed"/>
        <w:tblCellMar>
          <w:top w:w="0" w:type="dxa"/>
          <w:left w:w="0" w:type="dxa"/>
          <w:bottom w:w="0" w:type="dxa"/>
          <w:right w:w="0" w:type="dxa"/>
        </w:tblCellMar>
      </w:tblPr>
      <w:tblGrid>
        <w:gridCol w:w="7500"/>
        <w:gridCol w:w="1635"/>
      </w:tblGrid>
      <w:tr>
        <w:trPr/>
        <w:tc>
          <w:tcPr>
            <w:tcW w:w="7500" w:type="dxa"/>
            <w:tcBorders/>
            <w:vAlign w:val="center"/>
          </w:tcPr>
          <w:p>
            <w:pPr>
              <w:pStyle w:val="TableContents"/>
              <w:bidi w:val="0"/>
              <w:spacing w:before="0" w:after="283"/>
              <w:jc w:val="left"/>
              <w:rPr/>
            </w:pPr>
            <w:r>
              <w:rPr/>
              <w:drawing>
                <wp:inline distT="0" distB="0" distL="0" distR="0">
                  <wp:extent cx="4752975" cy="438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0"/>
                          <a:stretch>
                            <a:fillRect/>
                          </a:stretch>
                        </pic:blipFill>
                        <pic:spPr bwMode="auto">
                          <a:xfrm>
                            <a:off x="0" y="0"/>
                            <a:ext cx="4752975" cy="438150"/>
                          </a:xfrm>
                          <a:prstGeom prst="rect">
                            <a:avLst/>
                          </a:prstGeom>
                        </pic:spPr>
                      </pic:pic>
                    </a:graphicData>
                  </a:graphic>
                </wp:inline>
              </w:drawing>
            </w:r>
          </w:p>
        </w:tc>
        <w:tc>
          <w:tcPr>
            <w:tcW w:w="1635" w:type="dxa"/>
            <w:tcBorders/>
            <w:vAlign w:val="center"/>
          </w:tcPr>
          <w:p>
            <w:pPr>
              <w:pStyle w:val="TableContents"/>
              <w:bidi w:val="0"/>
              <w:spacing w:before="0" w:after="283"/>
              <w:jc w:val="right"/>
              <w:rPr/>
            </w:pPr>
            <w:r>
              <w:rPr/>
              <w:drawing>
                <wp:inline distT="0" distB="0" distL="0" distR="0">
                  <wp:extent cx="1028700" cy="342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1"/>
                          <a:stretch>
                            <a:fillRect/>
                          </a:stretch>
                        </pic:blipFill>
                        <pic:spPr bwMode="auto">
                          <a:xfrm>
                            <a:off x="0" y="0"/>
                            <a:ext cx="1028700" cy="34290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9, 2026</w:t>
      </w:r>
    </w:p>
    <w:p>
      <w:pPr>
        <w:pStyle w:val="TextBody"/>
        <w:bidi w:val="0"/>
        <w:spacing w:before="0" w:after="0"/>
        <w:ind w:left="0" w:right="0" w:hanging="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35"/>
        <w:gridCol w:w="3110"/>
      </w:tblGrid>
      <w:tr>
        <w:trPr/>
        <w:tc>
          <w:tcPr>
            <w:tcW w:w="3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w:t>
            </w:r>
          </w:p>
        </w:tc>
        <w:tc>
          <w:tcPr>
            <w:tcW w:w="31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Viomi Technology Co., Ltd</w:t>
            </w:r>
          </w:p>
        </w:tc>
      </w:tr>
      <w:tr>
        <w:trPr/>
        <w:tc>
          <w:tcPr>
            <w:tcW w:w="33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Wansheng Square, Rm 1302 Tower C,</w:t>
            </w:r>
          </w:p>
        </w:tc>
      </w:tr>
      <w:tr>
        <w:trPr/>
        <w:tc>
          <w:tcPr>
            <w:tcW w:w="33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Xingang East Road, Haizhu District,</w:t>
            </w:r>
          </w:p>
        </w:tc>
      </w:tr>
      <w:tr>
        <w:trPr/>
        <w:tc>
          <w:tcPr>
            <w:tcW w:w="33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Guangzhou, Guangdong, 510220</w:t>
            </w:r>
          </w:p>
        </w:tc>
      </w:tr>
      <w:tr>
        <w:trPr/>
        <w:tc>
          <w:tcPr>
            <w:tcW w:w="33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People’s Republic of China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Dear Sirs or Madams,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lawyers qualified to practice in the People’s Republic of China (the “</w:t>
      </w:r>
      <w:r>
        <w:rPr>
          <w:rFonts w:ascii="Times New Roman;Times;Serif" w:hAnsi="Times New Roman;Times;Serif"/>
          <w:b w:val="false"/>
          <w:i w:val="false"/>
          <w:caps w:val="false"/>
          <w:smallCaps w:val="false"/>
          <w:sz w:val="20"/>
          <w:u w:val="single"/>
        </w:rPr>
        <w:t>PRC</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China</w:t>
      </w:r>
      <w:r>
        <w:rPr>
          <w:rFonts w:ascii="Times New Roman;Times;Serif" w:hAnsi="Times New Roman;Times;Serif"/>
          <w:b w:val="false"/>
          <w:i w:val="false"/>
          <w:caps w:val="false"/>
          <w:smallCaps w:val="false"/>
          <w:sz w:val="20"/>
        </w:rPr>
        <w:t>”, which, for the purposes of this opinion only, does not include the Hong Kong Special Administrative Region, the Macau Special Administrative Region and Taiwan Region) and as such are qualified to issue this opinion on the PRC Laws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acting as PRC legal counsel to Viomi Technology Co., Ltd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 company incorporated under the laws of the Cayman Islands, in connection with the Company’s registration statement on Form F-3 (including all amendments or supplements thereto,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filed by the Company with the Securities and Exchange Commission under the U.S. Securities Act of 1933 (as amended), in relation to the proposed offering of the Company’s Class A ordinary shares, par value $0.00001 per share, preferred shares, warrants to purchase Class A ordinary shares and preferred shares, subscription rights and a ‎combination of such securities, separately or as units.</w:t>
      </w:r>
    </w:p>
    <w:p>
      <w:pPr>
        <w:pStyle w:val="TextBody"/>
        <w:bidi w:val="0"/>
        <w:spacing w:before="0" w:after="0"/>
        <w:ind w:left="0" w:right="0" w:hanging="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215"/>
        <w:gridCol w:w="243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24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and Assumptions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this opinion, we have examined copies of the Registration Statement and other documents (collectively the “</w:t>
      </w:r>
      <w:r>
        <w:rPr>
          <w:rFonts w:ascii="Times New Roman;Times;Serif" w:hAnsi="Times New Roman;Times;Serif"/>
          <w:b w:val="false"/>
          <w:i w:val="false"/>
          <w:caps w:val="false"/>
          <w:smallCaps w:val="false"/>
          <w:sz w:val="20"/>
          <w:u w:val="single"/>
        </w:rPr>
        <w:t>Documents</w:t>
      </w:r>
      <w:r>
        <w:rPr>
          <w:rFonts w:ascii="Times New Roman;Times;Serif" w:hAnsi="Times New Roman;Times;Serif"/>
          <w:b w:val="false"/>
          <w:i w:val="false"/>
          <w:caps w:val="false"/>
          <w:smallCaps w:val="false"/>
          <w:sz w:val="20"/>
        </w:rPr>
        <w:t>”) as we have considered necessary or advisable for the purposes of rendering this opinion. Where certain facts were not independently established and verified by us, we have relied upon appropriate representatives of the Company and the PRC Companies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this opinion, we have made the following assumptions (the “</w:t>
      </w:r>
      <w:r>
        <w:rPr>
          <w:rFonts w:ascii="Times New Roman;Times;Serif" w:hAnsi="Times New Roman;Times;Serif"/>
          <w:b w:val="false"/>
          <w:i w:val="false"/>
          <w:caps w:val="false"/>
          <w:smallCaps w:val="false"/>
          <w:sz w:val="20"/>
          <w:u w:val="single"/>
        </w:rPr>
        <w:t>Assumptions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signatures, seals and chops on the Documents are genuine, and each signature on behalf of a party thereto is that of a person duly authorized by such party to execute the same, and all Documents submitted to us as originals are authentic, and all Documents submitted to us as copies conform to the originals;</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to the Documents, (i) if a legal person or other entity, is duly organized and is validly existing in good standing under the laws of its jurisdiction of organization and/or incorporation, and (ii) if an individual, has full capacity for civil conduct, and has full power and authority to execute, deliver and perform its, her or his obligations under the Documents to which it, she, he is a party in accordance with the laws of its jurisdiction of organization and/or the laws that it, she or he is subject to;</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presented to us remain in full force and effect on the date of this opinion and have not been revoked, amended or supplemented, and no amendments, revisions, supplements, modifications or other changes have been made, and no revocation or termination has occurred, with respect to any of the Documents after they were submitted to us for the purposes of this opinion;</w:t>
            </w:r>
          </w:p>
        </w:tc>
      </w:tr>
    </w:tbl>
    <w:p>
      <w:pPr>
        <w:pStyle w:val="TextBody"/>
        <w:bidi w:val="0"/>
        <w:spacing w:before="0" w:after="0"/>
        <w:ind w:left="567" w:right="0" w:hanging="567"/>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567" w:right="0" w:hanging="567"/>
        <w:jc w:val="both"/>
        <w:rPr>
          <w:caps w:val="false"/>
          <w:smallCaps w:val="false"/>
        </w:rPr>
      </w:pPr>
      <w:r>
        <w:rPr>
          <w:caps w:val="false"/>
          <w:smallCaps w:val="false"/>
        </w:rPr>
        <w:t> </w:t>
      </w:r>
    </w:p>
    <w:p>
      <w:pPr>
        <w:pStyle w:val="TextBody"/>
        <w:bidi w:val="0"/>
        <w:spacing w:before="0" w:after="0"/>
        <w:ind w:left="567" w:right="0" w:hanging="567"/>
        <w:jc w:val="right"/>
        <w:rPr>
          <w:caps w:val="false"/>
          <w:smallCaps w:val="false"/>
        </w:rPr>
      </w:pPr>
      <w:r>
        <w:rPr>
          <w:caps w:val="false"/>
          <w:smallCaps w:val="false"/>
        </w:rPr>
        <w:drawing>
          <wp:inline distT="0" distB="0" distL="0" distR="0">
            <wp:extent cx="1028700" cy="342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2"/>
                    <a:stretch>
                      <a:fillRect/>
                    </a:stretch>
                  </pic:blipFill>
                  <pic:spPr bwMode="auto">
                    <a:xfrm>
                      <a:off x="0" y="0"/>
                      <a:ext cx="1028700" cy="342900"/>
                    </a:xfrm>
                    <a:prstGeom prst="rect">
                      <a:avLst/>
                    </a:prstGeom>
                  </pic:spPr>
                </pic:pic>
              </a:graphicData>
            </a:graphic>
          </wp:inline>
        </w:drawing>
      </w:r>
    </w:p>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jurisdictions other than the PRC which may be applicable to the execution, delivery, performance or enforcement of the Documents are complied with;</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requested Documents have been provided to us and all factual statements made to us by the Company and the PRC Companies in connection with this opinion, including but not limited to the statements set forth in the Documents, are true, correct and complete;</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explanations and interpretations provided by government officials duly reflect the official position of the relevant Governmental Agencies and are complete, true and correct;</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Documents is legal, valid, binding and enforceable in accordance with its respective governing laws in any and all respects; and</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Governmental Authorizations (as defined below) and other official statements and documentation obtained by the Company or any PRC Company from any Governmental Agency have been obtained by lawful means in due course, and the Documents provided to us conform with those documents submitted to Governmental Agencies for such purposes.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assumed and have not verified the truthfulness, accuracy and completeness as to the factual matters of each Document we have reviewed.</w:t>
      </w:r>
    </w:p>
    <w:p>
      <w:pPr>
        <w:pStyle w:val="TextBody"/>
        <w:bidi w:val="0"/>
        <w:spacing w:before="0" w:after="0"/>
        <w:ind w:left="0" w:right="0" w:hanging="0"/>
        <w:jc w:val="both"/>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215"/>
        <w:gridCol w:w="95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9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terms defined in the context of this opinion, the following capitalized terms used in this opinion shall have the meanings ascribed to them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1"/>
        <w:gridCol w:w="8664"/>
      </w:tblGrid>
      <w:tr>
        <w:trPr/>
        <w:tc>
          <w:tcPr>
            <w:tcW w:w="154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Agency</w:t>
            </w:r>
            <w:r>
              <w:rPr>
                <w:rFonts w:ascii="Times New Roman;Times;Serif" w:hAnsi="Times New Roman;Times;Serif"/>
                <w:b w:val="false"/>
                <w:i w:val="false"/>
                <w:caps w:val="false"/>
                <w:smallCaps w:val="false"/>
                <w:sz w:val="20"/>
              </w:rPr>
              <w:t>”</w:t>
            </w:r>
          </w:p>
        </w:tc>
        <w:tc>
          <w:tcPr>
            <w:tcW w:w="86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any national, provincial or local governmental, regulatory or administrative authority, agency or commission in the PRC, or any court, tribunal or any other judicial or arbitral body in the PRC, or any body exercising, or entitled to exercise, any administrative, judicial, legislative, law enforcement, regulatory, or taxing authority or power of a similar nature in the PRC.</w:t>
            </w:r>
          </w:p>
        </w:tc>
      </w:tr>
      <w:tr>
        <w:trPr/>
        <w:tc>
          <w:tcPr>
            <w:tcW w:w="1541" w:type="dxa"/>
            <w:tcBorders/>
            <w:vAlign w:val="center"/>
          </w:tcPr>
          <w:p>
            <w:pPr>
              <w:pStyle w:val="TableContents"/>
              <w:bidi w:val="0"/>
              <w:spacing w:before="0" w:after="283"/>
              <w:jc w:val="both"/>
              <w:rPr>
                <w:caps w:val="false"/>
                <w:smallCaps w:val="false"/>
              </w:rPr>
            </w:pPr>
            <w:r>
              <w:rPr>
                <w:caps w:val="false"/>
                <w:smallCaps w:val="false"/>
              </w:rPr>
              <w:t> </w:t>
            </w:r>
          </w:p>
        </w:tc>
        <w:tc>
          <w:tcPr>
            <w:tcW w:w="86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4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Authorization</w:t>
            </w:r>
            <w:r>
              <w:rPr>
                <w:rFonts w:ascii="Times New Roman;Times;Serif" w:hAnsi="Times New Roman;Times;Serif"/>
                <w:b w:val="false"/>
                <w:i w:val="false"/>
                <w:caps w:val="false"/>
                <w:smallCaps w:val="false"/>
                <w:sz w:val="20"/>
              </w:rPr>
              <w:t>”</w:t>
            </w:r>
          </w:p>
        </w:tc>
        <w:tc>
          <w:tcPr>
            <w:tcW w:w="86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means any license, approval, consent, waiver, order, sanction, certificate, authorization, filing, declaration, disclosure, registration, exemption, permission, endorsement, annual inspection, clearance, qualification, permit or license by, from or with any Governmental Agency pursuant to any PRC Laws. </w:t>
            </w:r>
          </w:p>
        </w:tc>
      </w:tr>
      <w:tr>
        <w:trPr/>
        <w:tc>
          <w:tcPr>
            <w:tcW w:w="1541" w:type="dxa"/>
            <w:tcBorders/>
            <w:vAlign w:val="center"/>
          </w:tcPr>
          <w:p>
            <w:pPr>
              <w:pStyle w:val="TableContents"/>
              <w:bidi w:val="0"/>
              <w:spacing w:before="0" w:after="283"/>
              <w:jc w:val="both"/>
              <w:rPr>
                <w:caps w:val="false"/>
                <w:smallCaps w:val="false"/>
              </w:rPr>
            </w:pPr>
            <w:r>
              <w:rPr>
                <w:caps w:val="false"/>
                <w:smallCaps w:val="false"/>
              </w:rPr>
              <w:t> </w:t>
            </w:r>
          </w:p>
        </w:tc>
        <w:tc>
          <w:tcPr>
            <w:tcW w:w="86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4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PRC Companies</w:t>
            </w:r>
            <w:r>
              <w:rPr>
                <w:rFonts w:ascii="Times New Roman;Times;Serif" w:hAnsi="Times New Roman;Times;Serif"/>
                <w:b w:val="false"/>
                <w:i w:val="false"/>
                <w:caps w:val="false"/>
                <w:smallCaps w:val="false"/>
                <w:sz w:val="20"/>
              </w:rPr>
              <w:t>”</w:t>
            </w:r>
          </w:p>
        </w:tc>
        <w:tc>
          <w:tcPr>
            <w:tcW w:w="86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mean, collectively, all entities listed on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hereto, and each, a “</w:t>
            </w:r>
            <w:r>
              <w:rPr>
                <w:rFonts w:ascii="Times New Roman;Times;Serif" w:hAnsi="Times New Roman;Times;Serif"/>
                <w:b w:val="false"/>
                <w:i w:val="false"/>
                <w:caps w:val="false"/>
                <w:smallCaps w:val="false"/>
                <w:sz w:val="20"/>
                <w:u w:val="single"/>
              </w:rPr>
              <w:t>PRC Company</w:t>
            </w:r>
            <w:r>
              <w:rPr>
                <w:rFonts w:ascii="Times New Roman;Times;Serif" w:hAnsi="Times New Roman;Times;Serif"/>
                <w:b w:val="false"/>
                <w:i w:val="false"/>
                <w:caps w:val="false"/>
                <w:smallCaps w:val="false"/>
                <w:sz w:val="20"/>
              </w:rPr>
              <w:t>”.</w:t>
            </w:r>
          </w:p>
        </w:tc>
      </w:tr>
      <w:tr>
        <w:trPr/>
        <w:tc>
          <w:tcPr>
            <w:tcW w:w="1541" w:type="dxa"/>
            <w:tcBorders/>
            <w:vAlign w:val="center"/>
          </w:tcPr>
          <w:p>
            <w:pPr>
              <w:pStyle w:val="TableContents"/>
              <w:bidi w:val="0"/>
              <w:spacing w:before="0" w:after="283"/>
              <w:jc w:val="both"/>
              <w:rPr>
                <w:caps w:val="false"/>
                <w:smallCaps w:val="false"/>
              </w:rPr>
            </w:pPr>
            <w:r>
              <w:rPr>
                <w:caps w:val="false"/>
                <w:smallCaps w:val="false"/>
              </w:rPr>
              <w:t> </w:t>
            </w:r>
          </w:p>
        </w:tc>
        <w:tc>
          <w:tcPr>
            <w:tcW w:w="86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4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PRC Laws</w:t>
            </w:r>
            <w:r>
              <w:rPr>
                <w:rFonts w:ascii="Times New Roman;Times;Serif" w:hAnsi="Times New Roman;Times;Serif"/>
                <w:b w:val="false"/>
                <w:i w:val="false"/>
                <w:caps w:val="false"/>
                <w:smallCaps w:val="false"/>
                <w:sz w:val="20"/>
              </w:rPr>
              <w:t>”</w:t>
            </w:r>
          </w:p>
        </w:tc>
        <w:tc>
          <w:tcPr>
            <w:tcW w:w="86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 all applicable national, provincial and local laws, regulations, rules, notices, orders, decrees and judicial interpretations of the PRC currently in effect and publicly available on the date of this opinion.</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pPr>
      <w:r>
        <w:rPr/>
        <w:drawing>
          <wp:inline distT="0" distB="0" distL="0" distR="0">
            <wp:extent cx="1028700" cy="3429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3"/>
                    <a:stretch>
                      <a:fillRect/>
                    </a:stretch>
                  </pic:blipFill>
                  <pic:spPr bwMode="auto">
                    <a:xfrm>
                      <a:off x="0" y="0"/>
                      <a:ext cx="1028700" cy="342900"/>
                    </a:xfrm>
                    <a:prstGeom prst="rect">
                      <a:avLst/>
                    </a:prstGeom>
                  </pic:spPr>
                </pic:pic>
              </a:graphicData>
            </a:graphic>
          </wp:inline>
        </w:drawing>
      </w:r>
    </w:p>
    <w:p>
      <w:pPr>
        <w:pStyle w:val="TextBody"/>
        <w:bidi w:val="0"/>
        <w:spacing w:before="0" w:after="283"/>
        <w:jc w:val="left"/>
        <w:rPr/>
      </w:pPr>
      <w:r>
        <w:rPr/>
        <w:t> </w:t>
      </w:r>
    </w:p>
    <w:tbl>
      <w:tblPr>
        <w:tblW w:w="1015" w:type="dxa"/>
        <w:jc w:val="left"/>
        <w:tblInd w:w="0" w:type="dxa"/>
        <w:tblLayout w:type="fixed"/>
        <w:tblCellMar>
          <w:top w:w="0" w:type="dxa"/>
          <w:left w:w="0" w:type="dxa"/>
          <w:bottom w:w="0" w:type="dxa"/>
          <w:right w:w="0" w:type="dxa"/>
        </w:tblCellMar>
      </w:tblPr>
      <w:tblGrid>
        <w:gridCol w:w="215"/>
        <w:gridCol w:w="80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8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review of the Documents and subject to the Assumptions and the Qualifications (as defined below), we are of the opinion as of the date hereof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Taxation</w:t>
            </w:r>
            <w:r>
              <w:rPr>
                <w:rFonts w:ascii="Times New Roman;Times;Serif" w:hAnsi="Times New Roman;Times;Serif"/>
                <w:b w:val="false"/>
                <w:i w:val="false"/>
                <w:caps w:val="false"/>
                <w:smallCaps w:val="false"/>
                <w:sz w:val="20"/>
              </w:rPr>
              <w:t>. The statements made in the Registration Statement under the caption “Taxation” with respect to the PRC tax laws and regulations, constitute true and accurate descriptions of the matters described therein in all material aspects.</w:t>
            </w:r>
          </w:p>
        </w:tc>
      </w:tr>
    </w:tbl>
    <w:p>
      <w:pPr>
        <w:pStyle w:val="TextBody"/>
        <w:bidi w:val="0"/>
        <w:spacing w:before="0" w:after="0"/>
        <w:ind w:left="440" w:right="0" w:hanging="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expressed above is subject to the following qualifications (the “</w:t>
      </w:r>
      <w:r>
        <w:rPr>
          <w:rFonts w:ascii="Times New Roman;Times;Serif" w:hAnsi="Times New Roman;Times;Serif"/>
          <w:b w:val="false"/>
          <w:i w:val="false"/>
          <w:caps w:val="false"/>
          <w:smallCaps w:val="false"/>
          <w:sz w:val="20"/>
          <w:u w:val="single"/>
        </w:rPr>
        <w:t>Qualifications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limited to PRC Laws of general application on the date hereof. We have made no investigation of, and do not express or imply any views on, the laws and regulations of any jurisdiction other than the PRC, and we have assumed that no such other laws or regulations would affect our opinions expressed above.</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Laws referred to herein are the laws and regulations publicly available and currently in force on the date hereof and there is no guarantee that any of such PRC Laws, or the interpretation or enforcement thereof, will not be changed, amended or revoked in the future with or without retrospective effect.</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subject to (i) applicable bankruptcy, insolvency, fraudulent transfer, reorganization, moratorium or similar laws in the PRC affecting creditors’ rights generally, and (ii) possible judicial or administrative actions or any PRC Laws affecting creditors’ rights.</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subject to the effects of (i) certain legal or statutory principles affecting the validity and enforceability of contractual rights generally under the concepts of public interests, social ethics, national security, good faith, fair dealing, and applicable statutes of limitation, (ii) any circumstance in connection with the formulation, execution or performance of any legal documents that would be deemed materially mistaken, clearly unconscionable, fraudulent, coercionary or concealing illegal intentions with a lawful form, (iii) judicial discretion with respect to the availability of specific performance, injunctive relief, remedies or defenses, or the calculation of damages, and (iv) the discretion of any competent PRC legislative, administrative or judicial bodies in exercising their authority in the PRC.</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issued based on our understanding of PRC Laws. For matters not explicitly provided under PRC Laws, the interpretation, implementation and application of the specific requirements under PRC Laws, as well as their application to and effect on the legality, binding effect and enforceability of certain contracts, are subject to the final discretion of competent PRC legislative, administrative and judicial authorities, and there can be no assurance that the Governmental Agencies will not take a view that is contrary to or otherwise different from our opinion stated herein.</w:t>
            </w:r>
          </w:p>
        </w:tc>
      </w:tr>
    </w:tbl>
    <w:p>
      <w:pPr>
        <w:pStyle w:val="TextBody"/>
        <w:bidi w:val="0"/>
        <w:spacing w:before="0" w:after="0"/>
        <w:ind w:left="567" w:right="0" w:hanging="567"/>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567" w:right="0" w:hanging="567"/>
        <w:jc w:val="both"/>
        <w:rPr>
          <w:caps w:val="false"/>
          <w:smallCaps w:val="false"/>
        </w:rPr>
      </w:pPr>
      <w:r>
        <w:rPr>
          <w:caps w:val="false"/>
          <w:smallCaps w:val="false"/>
        </w:rPr>
        <w:t> </w:t>
      </w:r>
    </w:p>
    <w:p>
      <w:pPr>
        <w:pStyle w:val="TextBody"/>
        <w:bidi w:val="0"/>
        <w:spacing w:before="0" w:after="0"/>
        <w:ind w:left="567" w:right="0" w:hanging="567"/>
        <w:jc w:val="right"/>
        <w:rPr>
          <w:caps w:val="false"/>
          <w:smallCaps w:val="false"/>
        </w:rPr>
      </w:pPr>
      <w:r>
        <w:rPr>
          <w:caps w:val="false"/>
          <w:smallCaps w:val="false"/>
        </w:rPr>
        <w:drawing>
          <wp:inline distT="0" distB="0" distL="0" distR="0">
            <wp:extent cx="1028700" cy="3429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4"/>
                    <a:stretch>
                      <a:fillRect/>
                    </a:stretch>
                  </pic:blipFill>
                  <pic:spPr bwMode="auto">
                    <a:xfrm>
                      <a:off x="0" y="0"/>
                      <a:ext cx="1028700" cy="342900"/>
                    </a:xfrm>
                    <a:prstGeom prst="rect">
                      <a:avLst/>
                    </a:prstGeom>
                  </pic:spPr>
                </pic:pic>
              </a:graphicData>
            </a:graphic>
          </wp:inline>
        </w:drawing>
      </w:r>
    </w:p>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“enforceable” or “enforceability” as used in this opinion means that the obligations assumed by the relevant obligors under the relevant Documents are of a type which the courts of the PRC may enforce. It does not mean that those obligations will necessarily be enforced in all circumstances in accordance with their respective terms and/or additional terms that may be imposed by the courts. As used in this opinion, the expression “to our knowledge” or similar language with reference to matters of fact refers to the current, actual knowledge of the attorneys of this firm who have worked on matters for the Company and the PRC Companies in connection with this opinion. We may rely, as to matters of fact (but not as to legal conclusions), to the extent we deem proper, on certificates, statements and confirmations made by the responsible officers of the Company, the PRC Companies and/or the Governmental Agencies.</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undertaken any independent investigation, search or other verification action to determine the existence or absence of any fact or to prepare this opinion, and no inference as to our knowledge of the existence or absence of any fact should be drawn from our representation of the Company or the PRC Companies or the rendering of this opinion.</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intended to be used in the context which is specifically referred to herein, and each paragraph shall be construed as a whole and no part shall be extracted and referred to independently.</w:t>
            </w:r>
          </w:p>
        </w:tc>
      </w:tr>
    </w:tbl>
    <w:p>
      <w:pPr>
        <w:pStyle w:val="TextBody"/>
        <w:bidi w:val="0"/>
        <w:spacing w:before="0" w:after="0"/>
        <w:ind w:left="567" w:right="0" w:hanging="5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herein is solely for the benefit of the Company and without our prior written consent, neither our opinions nor this opinion may be disclosed to or relied upon by any other person. We hereby consent to the use of this opinion in, and the filing hereof as an exhibit to the Registration Statement, and to the reference to our name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strictly limited to the matters stated herein and no opinion is implied or may be inferred beyond the matters expressly stated herein. The opinion expressed herein is rendered only as of the date hereof, and we assume no responsibility to advise you of facts, circumstances, events or developments that hereafter may be brought to our attention and that may alter, affect or modify the opinion expressed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28700" cy="3429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5"/>
                    <a:stretch>
                      <a:fillRect/>
                    </a:stretch>
                  </pic:blipFill>
                  <pic:spPr bwMode="auto">
                    <a:xfrm>
                      <a:off x="0" y="0"/>
                      <a:ext cx="1028700" cy="3429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tbl>
      <w:tblPr>
        <w:tblW w:w="2495" w:type="dxa"/>
        <w:jc w:val="left"/>
        <w:tblInd w:w="0" w:type="dxa"/>
        <w:tblLayout w:type="fixed"/>
        <w:tblCellMar>
          <w:top w:w="0" w:type="dxa"/>
          <w:left w:w="0" w:type="dxa"/>
          <w:bottom w:w="0" w:type="dxa"/>
          <w:right w:w="0" w:type="dxa"/>
        </w:tblCellMar>
      </w:tblPr>
      <w:tblGrid>
        <w:gridCol w:w="2420"/>
        <w:gridCol w:w="75"/>
      </w:tblGrid>
      <w:tr>
        <w:trPr/>
        <w:tc>
          <w:tcPr>
            <w:tcW w:w="2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Yours faithfully,</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HAN KUN LAW OFFICES</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 KUN LAW OFFICES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PRC Companies</w:t>
      </w:r>
    </w:p>
    <w:p>
      <w:pPr>
        <w:pStyle w:val="TextBody"/>
        <w:bidi w:val="0"/>
        <w:spacing w:before="0" w:after="0"/>
        <w:ind w:left="0" w:right="0" w:hanging="0"/>
        <w:jc w:val="center"/>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185"/>
        <w:gridCol w:w="4325"/>
      </w:tblGrid>
      <w:tr>
        <w:trPr/>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43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PRC Companies</w:t>
            </w:r>
          </w:p>
        </w:tc>
      </w:tr>
      <w:tr>
        <w:trPr/>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432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3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Lequan Technology (Beijing) Co., Ltd.</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3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Yunmi Hulian Technology (Guangdong) Co., Ltd.</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3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Zhumeng Hulian Technology (Guangdong) Co., Ltd.</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6" w:name="ex23-1.htm"/>
      <w:bookmarkStart w:id="27" w:name="ksex23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18859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6"/>
                    <a:stretch>
                      <a:fillRect/>
                    </a:stretch>
                  </pic:blipFill>
                  <pic:spPr bwMode="auto">
                    <a:xfrm>
                      <a:off x="0" y="0"/>
                      <a:ext cx="6667500" cy="1885950"/>
                    </a:xfrm>
                    <a:prstGeom prst="rect">
                      <a:avLst/>
                    </a:prstGeom>
                  </pic:spPr>
                </pic:pic>
              </a:graphicData>
            </a:graphic>
          </wp:inline>
        </w:drawing>
      </w: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F-3 of Viomi Technology Co., Ltd of our report dated April 22, 2026, relating to the consolidated financial statements of Viomi Technology Co., Ltd appearing in its Annual Report on Form 20-F for the year ended December 31, 2025, filed with the Securities and Exchange Commission.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1820"/>
        <w:gridCol w:w="2765"/>
      </w:tblGrid>
      <w:tr>
        <w:trPr/>
        <w:tc>
          <w:tcPr>
            <w:tcW w:w="182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drawing>
                <wp:inline distT="0" distB="0" distL="0" distR="0">
                  <wp:extent cx="1019175" cy="3333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7"/>
                          <a:stretch>
                            <a:fillRect/>
                          </a:stretch>
                        </pic:blipFill>
                        <pic:spPr bwMode="auto">
                          <a:xfrm>
                            <a:off x="0" y="0"/>
                            <a:ext cx="1019175" cy="333375"/>
                          </a:xfrm>
                          <a:prstGeom prst="rect">
                            <a:avLst/>
                          </a:prstGeom>
                        </pic:spPr>
                      </pic:pic>
                    </a:graphicData>
                  </a:graphic>
                </wp:inline>
              </w:drawing>
            </w:r>
          </w:p>
        </w:tc>
      </w:tr>
      <w:tr>
        <w:trPr/>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 Mateo, California</w:t>
            </w:r>
          </w:p>
        </w:tc>
        <w:tc>
          <w:tcPr>
            <w:tcW w:w="27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WWC, P.C.</w:t>
            </w:r>
          </w:p>
        </w:tc>
      </w:tr>
      <w:tr>
        <w:trPr/>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9, 2026</w:t>
            </w:r>
          </w:p>
        </w:tc>
        <w:tc>
          <w:tcPr>
            <w:tcW w:w="27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Certified Public Accountants</w:t>
            </w:r>
          </w:p>
        </w:tc>
      </w:tr>
      <w:tr>
        <w:trPr/>
        <w:tc>
          <w:tcPr>
            <w:tcW w:w="182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PCAOB ID: 1171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5429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8"/>
                    <a:stretch>
                      <a:fillRect/>
                    </a:stretch>
                  </pic:blipFill>
                  <pic:spPr bwMode="auto">
                    <a:xfrm>
                      <a:off x="0" y="0"/>
                      <a:ext cx="6667500" cy="5429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8" w:name="ex23-3.htm"/>
      <w:bookmarkStart w:id="29" w:name="ksex233"/>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23.3</w:t>
      </w:r>
    </w:p>
    <w:p>
      <w:pPr>
        <w:pStyle w:val="TextBody"/>
        <w:bidi w:val="0"/>
        <w:spacing w:before="0" w:after="0"/>
        <w:ind w:left="0" w:right="0" w:hanging="0"/>
        <w:jc w:val="both"/>
        <w:rPr>
          <w:caps w:val="false"/>
          <w:smallCaps w:val="false"/>
        </w:rPr>
      </w:pPr>
      <w:r>
        <w:rPr>
          <w:caps w:val="false"/>
          <w:smallCaps w:val="false"/>
        </w:rPr>
        <w:t> </w:t>
      </w:r>
    </w:p>
    <w:tbl>
      <w:tblPr>
        <w:tblW w:w="9135" w:type="dxa"/>
        <w:jc w:val="left"/>
        <w:tblInd w:w="0" w:type="dxa"/>
        <w:tblLayout w:type="fixed"/>
        <w:tblCellMar>
          <w:top w:w="0" w:type="dxa"/>
          <w:left w:w="0" w:type="dxa"/>
          <w:bottom w:w="0" w:type="dxa"/>
          <w:right w:w="0" w:type="dxa"/>
        </w:tblCellMar>
      </w:tblPr>
      <w:tblGrid>
        <w:gridCol w:w="7500"/>
        <w:gridCol w:w="1635"/>
      </w:tblGrid>
      <w:tr>
        <w:trPr/>
        <w:tc>
          <w:tcPr>
            <w:tcW w:w="7500" w:type="dxa"/>
            <w:tcBorders/>
            <w:vAlign w:val="center"/>
          </w:tcPr>
          <w:p>
            <w:pPr>
              <w:pStyle w:val="TableContents"/>
              <w:bidi w:val="0"/>
              <w:spacing w:before="0" w:after="283"/>
              <w:jc w:val="left"/>
              <w:rPr/>
            </w:pPr>
            <w:r>
              <w:rPr/>
              <w:drawing>
                <wp:inline distT="0" distB="0" distL="0" distR="0">
                  <wp:extent cx="4752975" cy="4381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9"/>
                          <a:stretch>
                            <a:fillRect/>
                          </a:stretch>
                        </pic:blipFill>
                        <pic:spPr bwMode="auto">
                          <a:xfrm>
                            <a:off x="0" y="0"/>
                            <a:ext cx="4752975" cy="438150"/>
                          </a:xfrm>
                          <a:prstGeom prst="rect">
                            <a:avLst/>
                          </a:prstGeom>
                        </pic:spPr>
                      </pic:pic>
                    </a:graphicData>
                  </a:graphic>
                </wp:inline>
              </w:drawing>
            </w:r>
          </w:p>
        </w:tc>
        <w:tc>
          <w:tcPr>
            <w:tcW w:w="1635" w:type="dxa"/>
            <w:tcBorders/>
            <w:vAlign w:val="center"/>
          </w:tcPr>
          <w:p>
            <w:pPr>
              <w:pStyle w:val="TableContents"/>
              <w:bidi w:val="0"/>
              <w:spacing w:before="0" w:after="283"/>
              <w:jc w:val="right"/>
              <w:rPr/>
            </w:pPr>
            <w:r>
              <w:rPr/>
              <w:drawing>
                <wp:inline distT="0" distB="0" distL="0" distR="0">
                  <wp:extent cx="1028700" cy="3429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0"/>
                          <a:stretch>
                            <a:fillRect/>
                          </a:stretch>
                        </pic:blipFill>
                        <pic:spPr bwMode="auto">
                          <a:xfrm>
                            <a:off x="0" y="0"/>
                            <a:ext cx="1028700" cy="342900"/>
                          </a:xfrm>
                          <a:prstGeom prst="rect">
                            <a:avLst/>
                          </a:prstGeom>
                        </pic:spPr>
                      </pic:pic>
                    </a:graphicData>
                  </a:graphic>
                </wp:inline>
              </w:drawing>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p>
      <w:pPr>
        <w:pStyle w:val="TextBody"/>
        <w:bidi w:val="0"/>
        <w:spacing w:before="0" w:after="0"/>
        <w:ind w:left="0" w:right="0" w:hanging="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335"/>
        <w:gridCol w:w="3800"/>
      </w:tblGrid>
      <w:tr>
        <w:trPr/>
        <w:tc>
          <w:tcPr>
            <w:tcW w:w="3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w:t>
            </w:r>
          </w:p>
        </w:tc>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Viomi Technology Co., Ltd</w:t>
            </w:r>
            <w:r>
              <w:rPr>
                <w:rFonts w:ascii="Times New Roman;Times;Serif" w:hAnsi="Times New Roman;Times;Serif"/>
                <w:sz w:val="20"/>
              </w:rPr>
              <w:t xml:space="preserve"> (the “</w:t>
            </w:r>
            <w:r>
              <w:rPr>
                <w:rFonts w:ascii="Times New Roman;Times;Serif" w:hAnsi="Times New Roman;Times;Serif"/>
                <w:b/>
                <w:sz w:val="20"/>
              </w:rPr>
              <w:t>Company</w:t>
            </w:r>
            <w:r>
              <w:rPr>
                <w:rFonts w:ascii="Times New Roman;Times;Serif" w:hAnsi="Times New Roman;Times;Serif"/>
                <w:sz w:val="20"/>
              </w:rPr>
              <w:t>”)</w:t>
            </w:r>
          </w:p>
        </w:tc>
      </w:tr>
      <w:tr>
        <w:trPr/>
        <w:tc>
          <w:tcPr>
            <w:tcW w:w="33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Wansheng Square, Rm 1302 Tower C,</w:t>
            </w:r>
          </w:p>
        </w:tc>
      </w:tr>
      <w:tr>
        <w:trPr/>
        <w:tc>
          <w:tcPr>
            <w:tcW w:w="33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Xingang East Road, Haizhu District,</w:t>
            </w:r>
          </w:p>
        </w:tc>
      </w:tr>
      <w:tr>
        <w:trPr/>
        <w:tc>
          <w:tcPr>
            <w:tcW w:w="33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Guangzhou, Guangdong, 510220</w:t>
            </w:r>
          </w:p>
        </w:tc>
      </w:tr>
      <w:tr>
        <w:trPr/>
        <w:tc>
          <w:tcPr>
            <w:tcW w:w="33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People’s Republic of China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Sir/Madam: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PRC legal counsel as to the laws of the People’s Republic of China (the “</w:t>
      </w:r>
      <w:r>
        <w:rPr>
          <w:rFonts w:ascii="Times New Roman;Times;Serif" w:hAnsi="Times New Roman;Times;Serif"/>
          <w:b/>
          <w:i w:val="false"/>
          <w:caps w:val="false"/>
          <w:smallCaps w:val="false"/>
          <w:sz w:val="20"/>
        </w:rPr>
        <w:t>PRC</w:t>
      </w:r>
      <w:r>
        <w:rPr>
          <w:rFonts w:ascii="Times New Roman;Times;Serif" w:hAnsi="Times New Roman;Times;Serif"/>
          <w:b w:val="false"/>
          <w:i w:val="false"/>
          <w:caps w:val="false"/>
          <w:smallCaps w:val="false"/>
          <w:sz w:val="20"/>
        </w:rPr>
        <w:t>”, for purpose of this letter only, excluding the Hong Kong Special Administrative Region, the Macau Special Administrative Region and Taiwan Region) to the Company in connection with the proposed offering as set forth in the Company’s registration statement on Form F-3, including all amendments and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under the U.S.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 of our name under the headings “Enforceability of Civil ‎Liabilities,” “Taxation” and “Legal Matters”. We also consent to the filing with the SEC of this ‎consent letter as an exhibit to the Registration Statement.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before="0" w:after="0"/>
        <w:ind w:left="0" w:right="0" w:hanging="0"/>
        <w:jc w:val="both"/>
        <w:rPr>
          <w:caps w:val="false"/>
          <w:smallCaps w:val="false"/>
        </w:rPr>
      </w:pPr>
      <w:r>
        <w:rPr>
          <w:caps w:val="false"/>
          <w:smallCaps w:val="false"/>
        </w:rPr>
        <w:t> </w:t>
      </w:r>
    </w:p>
    <w:tbl>
      <w:tblPr>
        <w:tblW w:w="2075" w:type="dxa"/>
        <w:jc w:val="left"/>
        <w:tblInd w:w="0" w:type="dxa"/>
        <w:tblLayout w:type="fixed"/>
        <w:tblCellMar>
          <w:top w:w="0" w:type="dxa"/>
          <w:left w:w="0" w:type="dxa"/>
          <w:bottom w:w="0" w:type="dxa"/>
          <w:right w:w="0" w:type="dxa"/>
        </w:tblCellMar>
      </w:tblPr>
      <w:tblGrid>
        <w:gridCol w:w="2000"/>
        <w:gridCol w:w="75"/>
      </w:tblGrid>
      <w:tr>
        <w:trPr/>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Yours faithfully,‎</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Han Kun Law Offices</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 Kun Law Offices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0" w:name="ex107.htm"/>
      <w:bookmarkStart w:id="31" w:name="ksex107"/>
      <w:bookmarkStart w:id="32" w:name="ex107.htm"/>
      <w:bookmarkStart w:id="33" w:name="ksex107"/>
      <w:bookmarkEnd w:id="32"/>
      <w:bookmarkEnd w:id="33"/>
      <w:r>
        <w:br w:type="page"/>
      </w:r>
    </w:p>
    <w:tbl>
      <w:tblPr>
        <w:tblW w:w="3578" w:type="dxa"/>
        <w:jc w:val="left"/>
        <w:tblInd w:w="0" w:type="dxa"/>
        <w:tblLayout w:type="fixed"/>
        <w:tblCellMar>
          <w:top w:w="28" w:type="dxa"/>
          <w:left w:w="28" w:type="dxa"/>
          <w:bottom w:w="28" w:type="dxa"/>
          <w:right w:w="28" w:type="dxa"/>
        </w:tblCellMar>
      </w:tblPr>
      <w:tblGrid>
        <w:gridCol w:w="3424"/>
        <w:gridCol w:w="154"/>
      </w:tblGrid>
      <w:tr>
        <w:trPr/>
        <w:tc>
          <w:tcPr>
            <w:tcW w:w="357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4" w:type="dxa"/>
            <w:tcBorders/>
            <w:vAlign w:val="center"/>
          </w:tcPr>
          <w:p>
            <w:pPr>
              <w:pStyle w:val="TableContents"/>
              <w:bidi w:val="0"/>
              <w:spacing w:before="0" w:after="283"/>
              <w:jc w:val="left"/>
              <w:rPr>
                <w:b/>
              </w:rPr>
            </w:pPr>
            <w:r>
              <w:rPr>
                <w:b/>
              </w:rPr>
              <w:t xml:space="preserve">F-3 </w:t>
            </w:r>
          </w:p>
        </w:tc>
        <w:tc>
          <w:tcPr>
            <w:tcW w:w="154" w:type="dxa"/>
            <w:tcBorders/>
          </w:tcPr>
          <w:p>
            <w:pPr>
              <w:pStyle w:val="TableContents"/>
              <w:bidi w:val="0"/>
              <w:spacing w:before="0" w:after="283"/>
              <w:jc w:val="left"/>
              <w:rPr>
                <w:sz w:val="4"/>
                <w:szCs w:val="4"/>
              </w:rPr>
            </w:pPr>
            <w:r>
              <w:rPr>
                <w:sz w:val="4"/>
                <w:szCs w:val="4"/>
              </w:rPr>
            </w:r>
          </w:p>
        </w:tc>
      </w:tr>
      <w:tr>
        <w:trPr/>
        <w:tc>
          <w:tcPr>
            <w:tcW w:w="3424" w:type="dxa"/>
            <w:tcBorders/>
            <w:vAlign w:val="center"/>
          </w:tcPr>
          <w:p>
            <w:pPr>
              <w:pStyle w:val="TableContents"/>
              <w:bidi w:val="0"/>
              <w:spacing w:before="0" w:after="283"/>
              <w:jc w:val="left"/>
              <w:rPr>
                <w:b/>
              </w:rPr>
            </w:pPr>
            <w:r>
              <w:rPr>
                <w:b/>
              </w:rPr>
              <w:t xml:space="preserve">Viomi Technology Co., Ltd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154" w:type="dxa"/>
        <w:jc w:val="left"/>
        <w:tblInd w:w="0" w:type="dxa"/>
        <w:tblLayout w:type="fixed"/>
        <w:tblCellMar>
          <w:top w:w="28" w:type="dxa"/>
          <w:left w:w="28" w:type="dxa"/>
          <w:bottom w:w="28" w:type="dxa"/>
          <w:right w:w="28" w:type="dxa"/>
        </w:tblCellMar>
      </w:tblPr>
      <w:tblGrid>
        <w:gridCol w:w="1126"/>
        <w:gridCol w:w="226"/>
        <w:gridCol w:w="1246"/>
        <w:gridCol w:w="12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1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Class A ordinary shares, par value US$0.00001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Preferred shares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Subscription rights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$ 100,000,000.00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$ 13,810.00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1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4" w:name="MaxAggtOfferingPrice"/>
            <w:bookmarkEnd w:id="34"/>
            <w:r>
              <w:rPr/>
              <w:t xml:space="preserve">$ 100,000,000.00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5" w:name="TotalFeeAmt"/>
            <w:bookmarkEnd w:id="35"/>
            <w:r>
              <w:rPr/>
              <w:t xml:space="preserve">$ 13,810.00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TotalPreviouslyPaid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Offset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NetFeeAmt"/>
            <w:bookmarkEnd w:id="38"/>
            <w:r>
              <w:rPr/>
              <w:t xml:space="preserve">$ 13,810.00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9"/>
        <w:gridCol w:w="8708"/>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The amount to be registered consists of up to $100,000,000 aggregate offering price of an indeterminate amount of Class A ordinary shares, preferred shares, warrants, subscription rights, and/or units of the registrant as may from time to time be offered at unspecified prices. The securities registered hereunder also include such indeterminate number of Class A ordinary shares as may be issued upon conversion, exercise or exchange of warrants that provide for such conversion into, exercise for or exchange into Class A ordinary shares. The maximum aggregate offering price of all securities covered by this registration statement will not exceed $100,000,000. The registrant has estimated the proposed maximum aggregate offering price solely for the purpose of calculating the registration fee pursuant to Rule 457(o) under the Securities Act of 1933, as amended (the "Securities Act"). In addition, pursuant to Rule 416 under the Securities Act, the Class A ordinary shares being registered hereunder include such indeterminate number of Class A ordinary shares as may be issuable with respect to the shares being registered hereunder as a result of share subdivision or consolidation, share dividends, or similar transactions. The proposed maximum offering price per security will be determined from time to time by the Registrant in connection with the issuance by the registrant of the securities registered hereunder and is not specified as to each class of securities to be registered pursuant to Instruction 2.A.iii.b to the Calculation of Filing Fee Tables and Related Disclosure in Item 9(b) of Form F-3. The registration fee has been calculated pursuant to Rule 457(o) under the Securities Act on the basis of the maximum aggregate offering price of the securities listed. The Class A ordinary shares may be represented by American depositary shares. Each American depositary share represents three Class A ordinary shares. American depositary shares issuable upon deposit of Class A ordinary shares registered hereby have been registered under the separate registration statements on Form F-6 (Registration No. 333-227276 and Registration No. 333-296523), as amended.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42770/000149315226018435/form20-f.htm" TargetMode="External"/><Relationship Id="rId4" Type="http://schemas.openxmlformats.org/officeDocument/2006/relationships/hyperlink" Target="https://www.sec.gov/Archives/edgar/data/1742770/000110465918056135/a18-9514_78a12b.htm" TargetMode="External"/><Relationship Id="rId5" Type="http://schemas.openxmlformats.org/officeDocument/2006/relationships/hyperlink" Target="https://www.sec.gov/Archives/edgar/data/1742770/000104746918005832/a2236505zex-3_2.htm" TargetMode="External"/><Relationship Id="rId6" Type="http://schemas.openxmlformats.org/officeDocument/2006/relationships/hyperlink" Target="https://www.sec.gov/Archives/edgar/data/1742770/000156459019008887/viot-ex43_6.htm" TargetMode="External"/><Relationship Id="rId7" Type="http://schemas.openxmlformats.org/officeDocument/2006/relationships/hyperlink" Target="https://www.sec.gov/Archives/edgar/data/1742770/000104746918006129/a2236581zex-4_2.htm" TargetMode="External"/><Relationship Id="rId8" Type="http://schemas.openxmlformats.org/officeDocument/2006/relationships/hyperlink" Target="https://www.sec.gov/Archives/edgar/data/1742770/000156459019008887/viot-ex43_6.htm" TargetMode="External"/><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4.jpeg"/><Relationship Id="rId13" Type="http://schemas.openxmlformats.org/officeDocument/2006/relationships/image" Target="media/image4.jpeg"/><Relationship Id="rId14" Type="http://schemas.openxmlformats.org/officeDocument/2006/relationships/image" Target="media/image4.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image" Target="media/image3.jpeg"/><Relationship Id="rId20" Type="http://schemas.openxmlformats.org/officeDocument/2006/relationships/image" Target="media/image4.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38481</Words>
  <Characters>204634</Characters>
  <CharactersWithSpaces>244881</CharactersWithSpaces>
  <Paragraphs>7330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