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f-3a.htm"/>
      <w:bookmarkStart w:id="1" w:name="ksformf3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333-297335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VIOMI TECHNOLOGY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4880"/>
        <w:gridCol w:w="60"/>
        <w:gridCol w:w="3275"/>
      </w:tblGrid>
      <w:tr>
        <w:trPr/>
        <w:tc>
          <w:tcPr>
            <w:tcW w:w="48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7 Licun Industrial Avenue, Lunjiao Subdistrict, Shunde District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Foshan, Guangdong, 528308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People’s Republic of China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+86 20 8930 9496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Delaware 19711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+1 302-738-6680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Haiping Li, Esq.</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Skadden, Arps, Slate, Meagher &amp; Flom LLP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 42/F, Edinburgh Tower</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Landmark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15 Queen’s Road Central</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3740-4700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Emerging growth company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27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27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U.S. Securities and Exchange Commission is effective. This preliminary prospectus is not an offer to sell nor does it seek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color w:val="FF0000"/>
          <w:sz w:val="20"/>
        </w:rPr>
      </w:pPr>
      <w:r>
        <w:rPr>
          <w:rFonts w:ascii="Times New Roman;Times;Serif" w:hAnsi="Times New Roman;Times;Serif"/>
          <w:b/>
          <w:i w:val="false"/>
          <w:caps/>
          <w:color w:val="FF0000"/>
          <w:sz w:val="20"/>
        </w:rPr>
        <w:t>SUBJECT TO COMPLETION, DATED SEPTEMBER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issue and sell up to US$100 million or its equivalent in any other currency, currency units, or composite currency or currencies, of our Class A ordinary shares, par value $0.00001 per share, including in the form of American depositary shares, or ADSs, preferred shares, warrants to purchase Class A ordinary shares and preferred shares, subscription rights and a combination of such securities, separately or as units, in one or more offerings. We refer to our Class A ordinary shares, ADSs, preferred shares, warrants, subscription rights and units collectively as “securities” in this prospectus. This prospectus provides a general description of offerings of these securities that we may undertake.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see the section entitled “Plan of Distribution” beginning on page 75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Global Select Market, or Nasdaq, under the ticker symbol “VIOT”. On September 3, 2026, the closing price of the ADSs on Nasdaq was US$1.36 per ADS.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remains below US$75,000,000. The aggregate market value of our issued and outstanding ordinary shares held by non-affiliates, or public float, as of September 3, 2026, was approximately US$38.4 million, which was calculated based on 84,774,804 Class A ordinary shares and nil Class B ordinary shares held by non-affiliates and the per ADS price of US$1.36, which was the closing price of the ADSs on September 3, 2026. During the 12 calendar months prior to and including the date of this prospectus, we have not offered or sold any securities pursuant to General Instruction I.B.5 of Form F-3.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a high degree of risk. Furthermore, investors should be aware that there are various other risks relating to the securities, the issuer and its subsidiaries, their business and their jurisdictions of operations which investors should familiarize themselves with before making an investment in the securities. Please carefully consider the risks discussed under “Risk Factors” in this prospectus beginning on page 30, in any accompanying prospectus supplement or in our reports filed with the Securities and Exchange Commission that are incorporated by reference in this prospectus before making a decision to invest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 is not a Chinese operating company but rather a Cayman Islands holding company that does not conduct business directly and has no equity ownership in the VIEs. We conduct operations in China through (i) our WFOEs and (ii) the VIEs with which we have maintained contractual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and regulations restrict and impose conditions on foreign investment in internet and other related businesses in China. According to the Special Administrative Measures (Negative List) for Foreign Investment Access, the provision of internet information services falls within the restricted category and the equity ratio of foreign investment in the enterprises operating the business under the restricted category is subject to the cap of 50%. In addition, although the provision of e-commerce services falls within the permitted category, foreign investments in this business are still restricted by other requirements under related regulations in China. Accordingly, we operate this business in China through the VIEs, and rely on contractual arrangements among our WFOEs, the VIEs and the nominee shareholders of the VIEs to control the business operations of the VIEs. The VIEs are consolidated for accounting purposes, but are not entities in which our Cayman Islands holding company, or our investors, own equity. Revenues contributed by the VIEs accounted for 88.9%, 45.0% and 0.1% of our total revenues for the years ended December 31, 2023, 2024 and 2025, respectively. The VIEs currently include Beijing Yunmi Technology Co., Ltd., or Beijing Viomi, and Guangdong Interconnect Electric Appliances Technology Co., Ltd., or Guangdong Interconnect, and, prior to the completion of the 2024 reorganization transaction, the VIEs include Beijing Viomi and Foshan Yunmi Electric Appliances Technology Co., Ltd., or Foshan Viomi. Prior to the completion of the 2024 reorganization transaction, we operate internet information and e-commerce services business primarily through the former VIE, Foshan Viomi. In the 2024 reorganization transaction, Foshan Viomi agreed to transfer the websites, mobile apps, mini programs operated by it and all the related materials and rights (including but not limited to domain names, databases, codes, software, operational data, materials, documents, information) to Guangdong Interconnect. We have completed the transfer process with Foshan Viomi transfer in November 2025, and after the completion of the transfer, Guangdong Interconnect will replace Foshan Viomi in operating internet information and e-commerce services business. Investors in our ADSs are not purchasing equity interest in the VIEs in China but instead are purchasing equity interest in a holding company incorporated in the Cayman Islands.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series of contractual agreements have been entered into by and among our WFOEs, the VIEs and their respective shareholders, including (i) shareholder voting proxy agreements and equity pledge agreements, which provide us with effective control over the VIEs in China, (ii) exclusive consultation and service agreements, which allow us to receive economic benefits from the VIEs in China, (iii) exclusive option agreements, which provide us with the option to purchase the equity interests in, and assets of, the VIEs, and (iv) equity pledge agreements, under which the shareholders of the VIEs have pledged 100% equity interests in the VIEs to our WFOEs to secure shareholders’ obligations under the exclusive option agreements, the shareholder voting proxy agreements and the equity pledge agreements. Terms contained in each set of contractual arrangements with the VIEs and their respective shareholders are substantially similar. After the completion of our 2024 reorganization transaction, we have terminated the contractual arrangements between Yunmi Hulian Technology (Guangdong) Co., Ltd., or the former WFOE, and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Zhumeng Hulian Technology (Guangdong) Co., Ltd., or WFOE II, and Guangdong Interconnect, have entered into a new set of contractual arrangements, as a result of which the Company has controlled Guangdong Interconnect and consolidated its financial results. For more details of these contractual arrangements, see “Item 4. Information on the Company—C. Organizational Structure—Contractual Arrangements with the VIEs and Their Shareholders” in our annual report on Form 20-F for the fiscal year ended December 31, 2025 (“2025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contractual arrangements may not be as effective as direct ownership in providing us with control over the VIEs and we may incur substantial costs to enforce the terms of the arrangements. All of the agreements under the contractual arrangements are governed by PRC laws and provide for the resolution of disputes through arbitration in China. Accordingly, these contracts would be interpreted in accordance with PRC laws and any disputes arising from these contracts would be resolved in accordance with PRC legal procedures. These arrangements have not been tested in arbitral tribunals or courts. The legal system in the PRC is not as developed as in some other jurisdictions, such as the United States, and the uncertainties involved in it could limit our ability to enforce these contractual arrangements. Further,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See “Risk Factors—Risks Related to Our Corporate Structure—We rely on contractual arrangements with the VIEs and their respective shareholders for substantially all of our business operation, which may not be as effective as direct ownership in providing operational control” and “Risk Factors—Risks Related to Our Corporate Structure—Any failure by the VIEs or their shareholders to perform their obligations under our contractual arrangements with them would have an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its nominee shareholders. It is uncertain whether any new PRC laws or regulations relating to VIE structures will be adopted or if adopted, what they would provide. If we or any of the VIEs is found to be in violation of any existing or future PRC laws or regulations, or fail to obtain or maintain any of the required permits or approvals, the applicable PRC regulatory authorities would have broad discretion to take action in dealing with such violations or failures. If the PRC government deems that our contractual arrangements with the VIEs do not comply with PRC regulatory restrictions on foreign investment in relevant industries, or if these regulations or the interpretation of existing regulations change or are interpreted differently in the future, we and the VIEs could be subject to severe penalties or be forced to relinquish our and the VIEs’ interests in those operations. Our holding company, our WFOEs, the VIEs, and investors of our company face uncertainty about potential future actions by the PRC government that could affect the enforceability of the contractual arrangements with the VIEs and, consequently, significantly affect the financial performance of the VIEs and their subsidiaries and our company as a whole. See “Risk Factors—Risks Related to Our Corporate Structure” and “Risk Factors—Risks Related to Doing Business in China—Uncertainties with respect to the PRC legal system and changes in laws and regulations in China could materially and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VIEs face various risks and uncertainties related to doing business in China. Our and the VIEs’ business operations are primarily conducted in China, and we and the VIEs are subject to complex and evolving PRC laws and regulations. For example, we and the VIEs face risks associated with regulatory approvals on offshore offerings, anti-monopoly regulatory actions, and oversight on cybersecurity and data privacy. Additionally, the lack of inspection by the Public Company Accounting Oversight Board, or the PCAOB, on our auditors, may impact our ability to conduct certain businesses, accept foreign investments, or list on a United States or other foreign exchange. These risks could result in a material adverse change in our and the VIEs’ operations and the value of the ADSs, significantly limit or completely hinder our ability to continue to offer securities to investors, or cause the value of such securities to significantly decline or become worthless. For a detailed description of risks related to doing business in China, please refer to risks disclosed under “Risk Factors—Risks Related to Doing Business in China”.</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which was enacted on December 18, 2020 and further amended by the Consolidated Appropriations Act, 2023 signed into law on December 29, 2022, or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its determinations that it is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prospectus,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prospectus.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consolidated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The delisting of our ADSs, or the threat of their being delisted, may materially and adversely affect the value of your investment. For more details, please refer to risks disclosed under “Risk Factors—Risks Related to Doing Business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“Risk Factors—Risks Related to Doing Business in China—The PRC government’s significant oversight and discretion over our business operation could result in a material adverse change in our operations and the value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arising from the legal system in China, including risks and uncertainties regarding the enforcement of laws and that rules and regulations in China can change quickly with little advance notice, could result in a material adverse change in our and the VIEs’ operations and the value of our ADSs. For more details, see “Risk Factors—Risks Related to Doing Business in China—Uncertainties with respect to the PRC legal system and changes in laws and regulations in China could materially and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5495"/>
        <w:gridCol w:w="245"/>
      </w:tblGrid>
      <w:tr>
        <w:trPr/>
        <w:tc>
          <w:tcPr>
            <w:tcW w:w="5495" w:type="dxa"/>
            <w:tcBorders/>
            <w:shd w:fill="CCEEFF" w:val="clear"/>
            <w:vAlign w:val="center"/>
          </w:tcPr>
          <w:p>
            <w:pPr>
              <w:pStyle w:val="TableContents"/>
              <w:bidi w:val="0"/>
              <w:spacing w:before="0" w:after="283"/>
              <w:jc w:val="left"/>
              <w:rPr/>
            </w:pPr>
            <w:hyperlink w:anchor="JG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495" w:type="dxa"/>
            <w:tcBorders/>
            <w:shd w:fill="FFFFFF" w:val="clear"/>
            <w:vAlign w:val="center"/>
          </w:tcPr>
          <w:p>
            <w:pPr>
              <w:pStyle w:val="TableContents"/>
              <w:bidi w:val="0"/>
              <w:spacing w:before="0" w:after="283"/>
              <w:jc w:val="left"/>
              <w:rPr/>
            </w:pPr>
            <w:hyperlink w:anchor="JG_002">
              <w:r>
                <w:rPr>
                  <w:rStyle w:val="InternetLink"/>
                  <w:rFonts w:ascii="Times New Roman;Times;Serif" w:hAnsi="Times New Roman;Times;Serif"/>
                  <w:b w:val="false"/>
                  <w:i w:val="false"/>
                  <w:caps w:val="false"/>
                  <w:smallCaps w:val="false"/>
                  <w:sz w:val="20"/>
                </w:rPr>
                <w:t>FORWARD-LOOKING STATEMENTS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495" w:type="dxa"/>
            <w:tcBorders/>
            <w:shd w:fill="CCEEFF" w:val="clear"/>
            <w:vAlign w:val="center"/>
          </w:tcPr>
          <w:p>
            <w:pPr>
              <w:pStyle w:val="TableContents"/>
              <w:bidi w:val="0"/>
              <w:spacing w:before="0" w:after="283"/>
              <w:jc w:val="left"/>
              <w:rPr/>
            </w:pPr>
            <w:hyperlink w:anchor="JG_003">
              <w:r>
                <w:rPr>
                  <w:rStyle w:val="InternetLink"/>
                  <w:rFonts w:ascii="Times New Roman;Times;Serif" w:hAnsi="Times New Roman;Times;Serif"/>
                  <w:b w:val="false"/>
                  <w:i w:val="false"/>
                  <w:caps w:val="false"/>
                  <w:smallCaps w:val="false"/>
                  <w:sz w:val="20"/>
                </w:rPr>
                <w:t>OUR COMPANY</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495" w:type="dxa"/>
            <w:tcBorders/>
            <w:shd w:fill="FFFFFF" w:val="clear"/>
            <w:vAlign w:val="center"/>
          </w:tcPr>
          <w:p>
            <w:pPr>
              <w:pStyle w:val="TableContents"/>
              <w:bidi w:val="0"/>
              <w:spacing w:before="0" w:after="283"/>
              <w:jc w:val="left"/>
              <w:rPr/>
            </w:pPr>
            <w:hyperlink w:anchor="JG_004">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5495" w:type="dxa"/>
            <w:tcBorders/>
            <w:shd w:fill="CCEEFF" w:val="clear"/>
            <w:vAlign w:val="center"/>
          </w:tcPr>
          <w:p>
            <w:pPr>
              <w:pStyle w:val="TableContents"/>
              <w:bidi w:val="0"/>
              <w:spacing w:before="0" w:after="283"/>
              <w:jc w:val="left"/>
              <w:rPr/>
            </w:pPr>
            <w:hyperlink w:anchor="JG_005">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5495" w:type="dxa"/>
            <w:tcBorders/>
            <w:shd w:fill="FFFFFF" w:val="clear"/>
            <w:vAlign w:val="center"/>
          </w:tcPr>
          <w:p>
            <w:pPr>
              <w:pStyle w:val="TableContents"/>
              <w:bidi w:val="0"/>
              <w:spacing w:before="0" w:after="283"/>
              <w:jc w:val="left"/>
              <w:rPr/>
            </w:pPr>
            <w:hyperlink w:anchor="JG_006">
              <w:r>
                <w:rPr>
                  <w:rStyle w:val="InternetLink"/>
                  <w:rFonts w:ascii="Times New Roman;Times;Serif" w:hAnsi="Times New Roman;Times;Serif"/>
                  <w:b w:val="false"/>
                  <w:i w:val="false"/>
                  <w:caps w:val="false"/>
                  <w:smallCaps w:val="false"/>
                  <w:sz w:val="20"/>
                </w:rPr>
                <w:t>CAPITALIZATION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5495" w:type="dxa"/>
            <w:tcBorders/>
            <w:shd w:fill="CCEEFF" w:val="clear"/>
            <w:vAlign w:val="center"/>
          </w:tcPr>
          <w:p>
            <w:pPr>
              <w:pStyle w:val="TableContents"/>
              <w:bidi w:val="0"/>
              <w:spacing w:before="0" w:after="283"/>
              <w:jc w:val="left"/>
              <w:rPr/>
            </w:pPr>
            <w:hyperlink w:anchor="JG_007">
              <w:r>
                <w:rPr>
                  <w:rStyle w:val="InternetLink"/>
                  <w:rFonts w:ascii="Times New Roman;Times;Serif" w:hAnsi="Times New Roman;Times;Serif"/>
                  <w:b w:val="false"/>
                  <w:i w:val="false"/>
                  <w:caps w:val="false"/>
                  <w:smallCaps w:val="false"/>
                  <w:sz w:val="20"/>
                </w:rPr>
                <w:t>DESCRIPTION OF SHARE CAPITAL</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5495"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DESCRIPTION OF PREFERRED SHARES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5495"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DESCRIPTION OF WARRANTS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5495"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DESCRIPTION OF SUBSCRIPTION RIGHTS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5495"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DESCRIPTION OF UNITS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5495"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ENFORCEABILITY OF CIVIL LIABILITIES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5495"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b w:val="false"/>
                  <w:i w:val="false"/>
                  <w:caps w:val="false"/>
                  <w:smallCaps w:val="false"/>
                  <w:sz w:val="20"/>
                </w:rPr>
                <w:t>TAXATION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5495"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5495"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EXPENSES RELATED TO THE OFFERING</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5495"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5495"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5495" w:type="dxa"/>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5495" w:type="dxa"/>
            <w:tcBorders/>
            <w:shd w:fill="CCEEFF" w:val="clear"/>
            <w:vAlign w:val="center"/>
          </w:tcPr>
          <w:p>
            <w:pPr>
              <w:pStyle w:val="TableContents"/>
              <w:bidi w:val="0"/>
              <w:spacing w:before="0" w:after="283"/>
              <w:jc w:val="left"/>
              <w:rPr/>
            </w:pPr>
            <w:hyperlink w:anchor="sq_012">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into this prospectus, in the applicable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making an offer to sell the securities or soliciting an offer to buy the securities in any jurisdiction where the offer or sale is not permitted.</w:t>
      </w:r>
    </w:p>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JG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or the SEC, using a “shelf” registration process. By using this shelf registration statement, we may, at any time and from time to time, offer and/or sell the securities described in this prospectus in one or more offerings. This prospectus provides you with a general description of the securities offered. We may also add, update or change information contained in this prospectus by means of a prospectus supplement or by incorporating by reference information that we file or furnish to the SEC. If there is any inconsistency between the information in this prospectus and any related prospectus supplement, you should rely on the information in the applicable prospectus supplement.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document and any applicable prospectus supplement. You should also read the documents we have referred you to under “Where You Can Find More Information” and “Incorporation of Certain Documents by Reference” below for information on our company, the risks we face and our financial statements. The registration statement and exhibits can be read on the SEC’s website as described under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2024 reorganization transaction” are to the transactions to effect the divestment of our divested IoT@Home business by terminating the contractual arrangements between Yunmi Hulian Technology (Guangdong) Co., Ltd. and Foshan Yunmi Electric Appliances Technology Co., Ltd., or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Zhumeng Hulian Technology (Guangdong) Co., Ltd. and Guangdong Interconnect Electric Appliances Technology Co., Ltd., or Guangdong Interconnect, have entered into a new set of contractual arrangements, as a result of which the Company has controlled Guangdong Interconnect and consolidated its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ADSs” are to our American depositary shares, each of which represents three Class A ordinary shares of par value US$0.00001 each;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are to the People’s Republic of China;</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AI” are to artificial intelligence;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are to our Class A ordinary shares of par value US$0.00001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are to our Class B ordinary shares of par value US$0.00001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divested IoT@Home business” are to the businesses and assets involving certain IoT@Home portfolio products (excluding range hoods, gas stoves, and water heaters) that have been divested by us in August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IoT” are to the Internet of Things, an interconnected network of devices that can communicate with one another through the internet;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“home water systems” are to our portfolio of smart water purification systems with intelligent interconnectivity and communication capabilities, along with water heaters, smart water kettles, and electric kettles, among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“kitchen appliances and others” are to portfolio of range hoods, gas stoves, and other small appliances, as well as product installation services and rental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“IoT@Home portfolio products” are to our portfolio of smart home products with intelligent interconnectivity and communication capabilities, including our smart kitchen products and other smart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are to Class A ordinary shares and Class B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VIEs” are to variable interest entities, and “the VIEs” are to Beijing Yunmi Technology Co., Ltd., or Beijing Viomi, and Guangdong Interconnect Electric Appliances Technology Co., Ltd., or Guangdong Interconnect, and, in the context of describing the VIEs prior to the completion of the 2024 reorganization transaction, Beijing Viomi and Foshan Yunmi Electric Appliances Technology Co., Ltd., or Foshan Viomi;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Viomi,” “we,” “us,” “our company” or “our” are to Viomi Technology Co., Ltd, our Cayman Islands holding company and its subsidiaries, and, in the context of describing our operations and consolidated financial information, the VIEs and the subsidiaries of the VIEs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WFOE I” are to Lequan Technology (Beijing) Co., Ltd., or Lequan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WFOE II” are to Zhumeng Hulian Technology (Guangdong) Co., Ltd., or Zhumeng Hulian;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WFOEs” are to wholly foreign-owned enterprises, and “our WFOEs” are to our WFOE I and our WFOE II, and, in the context of describing our WFOEs prior to the completion of the 2024 reorganization transaction, WFOE I and Yunmi Hulian Technology (Guangdong) Co., Ltd., or the former WFOE;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are to the legal currency of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platform” refers to the products and mobile apps that we provide to users and platform partners;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or “U.S. dollars,” are to the legal currency of the United States;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Xiaomi” are to Xiaomi Corporation, an internet company and a principal shareholder of our company as of the date of this prospectus, and/or any of its affiliates.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to implement our “Focus” strategy for home water solutions, we divested our businesses and assets involving certain IoT@Home portfolio products (excluding range hoods, gas stoves, and water heaters) for a total consideration of RMB65 million in cash. As a result of the completion of the 2024 reorganization transaction, from September 2024, we have ceased to consolidate the divested entities, assets and businesses as well as their corresponding financial results. The historical financial results of our divested IoT@Home business are reflected in our audited consolidated financial statements as discontinued operations. Unless otherwise stated, the financial information and non-GAAP financial measures disclosed in our 2025 Form 20-F refer to our continuing operations. Unless otherwise specifically stated, the information relating to the business operations is disclosed on a continuing operation basis, which excludes the divested IoT@Home business. As a result, our historical results prior to the completion of the 2024 reorganization transaction may not be indicative of future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all translations from Renminbi to U.S. dollars and from U.S. dollars to Renminbi in this prospectus were made at a rate of RMB6.9931 to US$1.00, the exchange rate set forth in the H.10 statistical release of the Board of Governors of the Federal Reserve System as of December 31, 2025. We make no representation that any RMB or U.S. dollar amounts could have been, or could be, converted into U.S. dollars or RMB, as the case may be, at any particular rate,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any prospectus supplement to “the accompanying prospectus” are to this prospectus and to “the prospectus” are to this prospectus and the applicable prospectus supplement taken together.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 w:name="JG_002"/>
      <w:bookmarkEnd w:id="3"/>
      <w:r>
        <w:rPr>
          <w:rFonts w:ascii="Times New Roman;Times;Serif" w:hAnsi="Times New Roman;Times;Serif"/>
          <w:b/>
          <w:i w:val="false"/>
          <w:caps/>
          <w:sz w:val="20"/>
        </w:rPr>
        <w:t>FORWARD-LOOKING STATEMENTS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“intend”, “plan,” “believe,” “estimate,” “is/are likely to,” “future,”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relating to, among other things:</w:t>
      </w:r>
    </w:p>
    <w:p>
      <w:pPr>
        <w:pStyle w:val="TextBody"/>
        <w:bidi w:val="0"/>
        <w:spacing w:before="0" w:after="0"/>
        <w:ind w:left="0" w:right="0" w:firstLine="72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the VIEs’ operations and business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the VIEs’ future business development, financial conditions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home water solutions products market and the home appliances market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development of our overseas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application of AI technology in home water solutions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relationships with our ecosystem partners;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success of our sales channel expansion and optimization;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among other things, capital, technology and skilled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regulatory and operating conditions in the industry and geographical markets in which we operate;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risks and uncertainties described in “Item 3. Key Information—D. Risk Factors” in our 2025 Form 20-F.</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included in this prospectus, in the documents incorporated by reference herein and in any prospectus supplement are subject to risks, uncertainties and assumptions about our company. Our actual results of operations may differ materially from the forward-looking statements as a result of the risk factors disclosed in this prospectus, in the documents incorporated by reference herein or in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like to caution you not to place undue reliance on these forward-looking statements, and you should read these statements in conjunction with the risk factors disclosed herein, in the documents incorporated by reference herein or in any applicable prospectus supplement for a more complete discussion of the risks of an investment in our securities.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pStyle w:val="TextBody"/>
        <w:bidi w:val="0"/>
        <w:spacing w:before="0" w:after="0"/>
        <w:ind w:left="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bdr w:val="single" w:sz="8" w:space="7" w:color="000000"/>
        </w:rPr>
      </w:pPr>
      <w:r>
        <w:rPr>
          <w:caps/>
          <w:bdr w:val="single" w:sz="8" w:space="7"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7" w:color="000000"/>
        </w:rPr>
      </w:pPr>
      <w:bookmarkStart w:id="4" w:name="JG_003"/>
      <w:bookmarkEnd w:id="4"/>
      <w:r>
        <w:rPr>
          <w:rFonts w:ascii="Times New Roman;Times;Serif" w:hAnsi="Times New Roman;Times;Serif"/>
          <w:b/>
          <w:i w:val="false"/>
          <w:caps/>
          <w:sz w:val="20"/>
          <w:bdr w:val="single" w:sz="8" w:space="7" w:color="000000"/>
        </w:rPr>
        <w:t>OUR COMPANY</w:t>
      </w:r>
    </w:p>
    <w:p>
      <w:pPr>
        <w:pStyle w:val="TextBody"/>
        <w:bidi w:val="0"/>
        <w:spacing w:before="0" w:after="0"/>
        <w:ind w:left="0" w:right="0" w:hanging="0"/>
        <w:jc w:val="center"/>
        <w:rPr>
          <w:caps/>
          <w:bdr w:val="single" w:sz="8" w:space="7" w:color="000000"/>
        </w:rPr>
      </w:pPr>
      <w:r>
        <w:rPr>
          <w:caps/>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Overview</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Embracing the mission of “AI for Better water,” we strive to utilize AI technology to provide better drinking water solutions for households worldwide. By leveraging our expertise in AI technology, intelligent hardware and software development, we simplify filter replacement and enhance water quality monitoring, thereby increasing the filter replacement rate. Our continuous technological innovations extend filter lifespan and lower user costs, promoting the adoption of water purifiers and supporting a healthy lifestyle while effectively addressing the rising global demand for cleaner, fresher and healthier drinking water. We operate a world-leading “Water Purifier Gigafactory” with an integrated industrial chain that boasts optimal efficiency and facilitates continuous breakthroughs in water purification. This state-of-the-art facility enables us to achieve economies of scale and accelerate the global popularization of residential water filtration.</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Our business comprises of two main parts, our Viomi business, which includes our Viomi-branded products, and Non-Viomi business, which involves our strategic partnership with Xiaomi. Sales through our own and third-party channels, which constitute the vast majority of our Viomi-branded products business, accounted for 21.1%, 17.3% and 10.4% of our net revenues in 2023, 2024 and 2025, respectively. Xiaomi is our strategic partner, shareholder and customer. Our strategic partnership with Xiaomi provides us with access to Xiaomi’s ecosystem users, sales platforms and data resources and related support. Sales to Xiaomi, predominantly comprising Xiaomi-branded products, accounted for 78.9%, 82.7% and 89.6% of our net revenues in 2023, 2024 and 2025, respectively. Our strong research and development capabilities, supply chain resources and innovative products and services are able to enrich Xiaomi’s suite of offerings, resulting in a mutually beneficial relationship between Xiaomi and us.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As an industry-leading technology company for home water solutions, Viomi has consistently driven technological breakthroughs over the past decade. These innovations include:</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Tankless large-flux water purifier: provides fresh drinking water 24/7, with a water flux up to 2000G, expanding the usage scenario of water purification from drinking to cooking, washing vegetables, and more.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Advancements in ERO electrodialysis and mineralization filter technologies: Allow Viomi to offer a range of water solutions, from pure water to natural mineral water, promoting a new trend of healthy living.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functions: Viomi has evolved from single-function filtration to integrated functions such as instant heating, cooling, and ice-making, meeting diverse global drinking needs.</w:t>
            </w:r>
          </w:p>
        </w:tc>
      </w:tr>
    </w:tbl>
    <w:p>
      <w:pPr>
        <w:pStyle w:val="TextBody"/>
        <w:bidi w:val="0"/>
        <w:spacing w:before="0" w:after="0"/>
        <w:ind w:left="1080" w:right="0" w:hanging="36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offer a wide range of products covering various home scenarios, from kitchen to living room and whole-house, comprehensively addressing the increasing global demand for cleaner, fresher and healthier drinking water.</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In May 2025, we launched Kunlun 4 Pro Alkaline Mineral Water purifier, this next-generation water purifier harnesses AI technology to replicate the natural mineral water formation process, aiming to elevate household drinking water from the era of “pure water” to the new era of “pure mineral water,” and offering a solution for families seeking mineral-rich drinking water at home. In September 2025, we launched Master 1 mineral water purifier on Amazon. This product is equipped with 9-stage precision filtration and an AI-powered interactive faucet, further enriching our product portfolio. In October 2025, we launched the Inno mineral water dispenser in Malaysia, tailored for the local market and featuring both mineralization and cooling functions. In December 2025, we unveiled “Leader” whole-house series for domestic offline channels.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Our platform</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Our unique platform consists of innovative home water systems, consumables, and kitchen appliances and others.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Prior to our 2024 reorganization transaction, we grouped our products into four business lines, including IoT@Home portfolio products, home water solutions, consumables and small appliances and others. After the divestment of our divested IoT@Home business in 2024, we re-grouped our products to better reflect our “Focus” strategy for home water solutions.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Currently, our products are grouped under the following three business lines: “home water systems,” which mainly are composed of our smart water purification products, water heaters, smart water kettles, and electric kettles, among others “consumables,” which consist of our consumable products that mainly include a range of water filters for our smart water purifiers, and “kitchen appliances and others,” which refer to range hoods, gas stoves, and other small appliances, as well as product installation services and rental services.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Specifically, water heaters, smart water kettles which were previously grouped under IoT@Home portfolio products, have been re-grouped to home water systems. Electric kettles, which were previously grouped under small appliances and others, have been also re-grouped to home water systems. Range hoods, gas stoves, and other small appliances, which were previously grouped under IoT@Home portfolio products, have been re-grouped to kitchen appliances and others.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Home water systems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core of our home water system products are our Viomi-branded and Xiaomi-branded smart water purifiers, which are complemented by our easy-to-install replaceable water filter consumable products. In general, our smart water purifiers feature precision sensors that enable real-time monitoring of the water purification process, facilitating data analysis and automatic adjustments with AI technology, innovative water purification technologies such as high-flow reverse osmosis membrane, and mobile application connectivity that allows users to monitor the status of the water purifier and receive reminders to replace filters. We continuously innovate and have introduced a series of new products. In the domestic market, we launched the Kunlun Mineral Series under-sink water purifier, which adopts a “purification-first, mineralization-second” approach, and advocates a healthy drinking water lifestyle. In May 2025, we launched the Kunlun 4 Pro Alkaline Mineral Water purifier. This next-generation water purifier harnesses AI technology to replicate the natural mineral water formation process, aiming to elevate household drinking water from the era of “pure water” to the new era of “pure mineral water,” and offering a solution for families seeking mineral-rich drinking water at home. In overseas markets, we are rolling out a more diverse range of products, taking into account the drinking water habits of different countries as well as channel-specific attributes. In September 2025, we launched the Master 1 mineral water purifier on Amazon. This product is equipped with a nine-stage precision filtration and an AI-powered interactive faucet, further enriching our product portfolio. In October 2025, we launched the Inno mineral water dispenser in Malaysia, tailored for the local market and featuring both mineralization and cooling functions.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Our home water system products also include water heaters, smart water kettles, and electric kettles, among others.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Consumables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consumables mainly include water filters for our smart water purifiers. We offer water filters that are complementary, and often essential, to our home water systems. These products generate additional, recurring revenue streams throughout the life cycle of our home water systems. Consumers can purchase these products through our sales channels or the e-commerce platforms integrated to our home water systems.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Kitchen appliances and others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Another component of our platform is our kitchen appliances and others.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offer a variety of other kitchen appliances to supplement our home water systems. These kitchen appliances include range hoods, gas stoves, and other small appliances.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provide product installation services to end-customers and lease properties to related parties.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Our Corporate Structure</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Viomi Technology Co., Ltd is not a Chinese operating company but rather a Cayman Islands holding company that does not conduct business directly and has no equity ownership in the VIEs. We conduct operations in China through (i) our WFOEs and (ii) the VIEs with which we have maintained contractual arrangements. The following diagram illustrates our corporate structure, including our significant subsidiaries and the VIEs as of the date of this prospectus: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drawing>
          <wp:inline distT="0" distB="0" distL="0" distR="0">
            <wp:extent cx="6667500" cy="826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8267700"/>
                    </a:xfrm>
                    <a:prstGeom prst="rect">
                      <a:avLst/>
                    </a:prstGeom>
                  </pic:spPr>
                </pic:pic>
              </a:graphicData>
            </a:graphic>
          </wp:inline>
        </w:drawing>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Chen holds 99% of the equity interests in Beijing Viomi, and Zhuhai Yungui Enterprise Management Consulting Partnership (Limited Partnership), a limited partnership controlled and managed by Mr. Chen, holds the remaining 1%.</w:t>
            </w:r>
          </w:p>
        </w:tc>
      </w:tr>
      <w:tr>
        <w:trPr/>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Viomi holds 100% of equity interests in Guangdong Interconnect Electric Appliances Technology Co., Ltd.</w:t>
            </w:r>
          </w:p>
        </w:tc>
      </w:tr>
    </w:tbl>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PRC laws and regulations restrict and impose conditions on foreign investment in internet and other related businesses in China. According to the Special Administrative Measures (Negative List) for Foreign Investment Access, our provision of internet information services falls within the restricted category and the equity ratio of foreign investment in the enterprises operating the business under the restricted category is subject to the cap of 50%. In addition, although our provision of e-commerce services falls within the permitted category, foreign investments in this business are still restricted by other requirements under related regulations in China. Accordingly, we operate this business in China through the VIEs, and rely on contractual arrangements among our WFOEs, the VIEs and the nominee shareholders of the VIEs to control the business operations of the VIEs. The VIEs are consolidated for accounting purposes, but are not entities in which our Cayman Islands holding company, or our investors, own equity. Revenues contributed by the VIEs accounted for 88.9%, 45.0% and 0.1% of our total revenues for the years ended December 31, 2023, 2024 and 2025, respectively. The VIEs currently include Beijing Yunmi Technology Co., Ltd., or Beijing Viomi, and Guangdong Interconnect Electric Appliances Technology Co., Ltd., or Guangdong Interconnect, and, prior to the completion of the 2024 reorganization transaction, the VIEs include Beijing Viomi and Foshan Yunmi Electric Appliances Technology Co., Ltd., or Foshan Viomi. Prior to the completion of the 2024 reorganization transaction, we operate our internet information and e-commerce services business primarily through the former VIE, Foshan Viomi. In the 2024 reorganization transaction, Foshan Viomi agreed to transfer the websites, mobile apps, mini programs operated by it and all the related materials and rights (including but not limited to domain names, databases, codes, software, operational data, materials, documents, information) to Guangdong Interconnect. We have completed the transfer process with Foshan Viomi transfer in November 2025, and after the completion of the transfer, Guangdong Interconnect will replace Foshan Viomi in operating internet information and e-commerce services business. Investors in our ADSs are not purchasing equity interest in the VIEs in China but instead are purchasing equity interest in a holding company incorporated in the Cayman Islands.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A series of contractual agreements have been entered into by and among our WFOEs, the VIEs and their respective shareholders, including (i) shareholder voting proxy agreements and equity pledge agreements, which provide us with effective control over the VIEs in China, (ii) exclusive consultation and service agreements, which allow us to receive economic benefits from the VIEs in China, (iii) exclusive option agreements, which provide us with the option to purchase the equity interests in, and assets of, the VIEs, and (iv) equity pledge agreements, under which the shareholders of the VIEs have pledged 100% equity interests in the VIEs to our WFOEs to secure shareholders’ obligations under the exclusive option agreements, the shareholder voting proxy agreements and the equity pledge agreements. Terms contained in each set of contractual arrangements with the VIEs and their respective shareholders are substantially similar. After the completion of our 2024 reorganization transaction, we have terminated the contractual arrangements between Yunmi Hulian Technology (Guangdong) Co., Ltd., or the former WFOE, and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Zhumeng Hulian Technology (Guangdong) Co., Ltd., or WFOE II, and Guangdong Interconnect, have entered into a new set of contractual arrangements, as a result of which the Company has controlled Guangdong Interconnect and consolidated its financial results. For more details of these contractual arrangements, see “Item 4. Information on the Company—C. Organizational Structure—Contractual Arrangements with The VIEs and Their Shareholders”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However, the contractual arrangements may not be as effective as direct ownership in providing us with control over the VIEs and we may incur substantial costs to enforce the terms of the arrangements. All of the agreements under the contractual arrangements are governed by PRC laws and provide for the resolution of disputes through arbitration in China. Accordingly, these contracts would be interpreted in accordance with PRC laws and any disputes arising from these contracts would be resolved in accordance with PRC legal procedures. These arrangements have not been tested in arbitral tribunals or courts. The legal system in the PRC is not as developed as in some other jurisdictions, such as the United States, and the uncertainties involved in it could limit our ability to enforce these contractual arrangements. Further,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See “Risk Factors—Risks Related to Our Corporate Structure—We rely on contractual arrangements with the VIEs and their respective shareholders for substantially all of our business operation, which may not be as effective as direct ownership in providing operational control” and “Risk Factors—Risks Related to Our Corporate Structure—Any failure by the VIEs or their shareholders to perform their obligations under our contractual arrangements with them would have an adverse effect on our business, financial condition and results of operations”.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its nominee shareholders. It is uncertain whether any new PRC laws or regulations relating to VIE structures will be adopted or if adopted, what they would provide. If we or any of the VIEs is found to be in violation of any existing or future PRC laws or regulations, or fail to obtain or maintain any of the required permits or approvals, the applicable PRC regulatory authorities would have broad discretion to take action in dealing with such violations or failures. If the PRC government deems that our contractual arrangements with the VIEs do not comply with PRC regulatory restrictions on foreign investment in relevant industries, or if these regulations or the interpretation of existing regulations change or are interpreted differently in the future, we and the VIEs could be subject to severe penalties or be forced to relinquish our and the VIEs’ interests in those operations. Our holding company, our WFOEs, the VIEs, and investors of our company face uncertainty about potential future actions by the PRC government that could affect the enforceability of the contractual arrangements with the VIEs and, consequently, significantly affect the financial performance of the VIEs and their subsidiaries and our company as a whole. See “Risk Factors—Risks Related to Our Corporate Structure” and “Risk Factors—Risks Related to Doing Business in China—Uncertainties with respect to the PRC legal system and changes in laws and regulations in China could materially and adversely affect us”.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and the VIEs face various risks and uncertainties related to doing business in China. Our and the VIEs’ business operations are primarily conducted in China, and we and the VIEs are subject to complex and evolving PRC laws and regulations. For example, we and the VIEs face risks associated with regulatory approvals on offshore offerings, anti-monopoly regulatory actions, and oversight on cybersecurity and data privacy. Additionally, the lack of inspection by the Public Company Accounting Oversight Board, or the PCAOB, on our auditors, may impact our ability to conduct certain businesses, accept foreign investments, or list on a United States or other foreign exchange. Pursuant to the Holding Foreign Companies Accountable Act, which was enacted on December 18, 2020 and further amended by the Consolidated Appropriations Act, 2023 signed into law on December 29, 2022, or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its determinations that it is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prospectus,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prospectus.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consolidated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The delisting of our ADSs, or the threat of their being delisted, may materially and adversely affect the value of your investment. These risks could result in a material adverse change in our and the VIEs’ operations and the value of our ADSs, significantly limit or completely hinder our ability to continue to offer securities to investors, or cause the value of such securities to significantly decline or become worthless. For a detailed description of risks related to doing business in China, please refer to risks disclosed under “Risk Factors—Risks Related to Doing Business in China”.</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PRC government’s significant authority in regulating our and the VIEs’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“Risk Factors—Risks Related to Doing Business in China—The PRC government’s significant oversight and discretion over our business operation could result in a material adverse change in our operations and the value of our ADSs”.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Risks and uncertainties arising from the legal system in China, including risks and uncertainties regarding the enforcement of laws and that rules and regulations in China can change quickly with little advance notice, could result in a material adverse change in our and the VIEs’ operations and the value of our ADSs. For more details, see “Risk Factors—Risks Related to Doing Business in China—Uncertainties with respect to the PRC legal system and changes in laws and regulations in China could materially and adversely affect us”.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Cash Transfers and Dividend Distribution</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Viomi Technology Co., Ltd is a holding company with no operations of its own. We conduct operations in China primarily through our subsidiaries and the VIEs in China. As a result, although other means are available for us to obtain financing at the holding company level, Viomi Technology Co., Ltd.’s ability to pay dividends to the shareholders and to service any debt it may incur may depend upon dividends paid by our PRC subsidiaries and the VIEs, and license and service fees paid by the VIEs.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If any of our subsidiaries or the VIEs incurs debt on its own behalf in the future, the instruments governing such debt may restrict its ability to pay dividends to Viomi Technology Co., Ltd. In addition, our PRC subsidiaries and the VIEs are permitted to pay dividends to Viomi Technology Co., Ltd only out of their accumulated profits, if any, as determined in accordance with PRC accounting standards and regulations. Further, our PRC subsidiaries and the VIEs and their subsidiaries are required to make appropriations to certain statutory reserve funds or may make appropriations to certain discretionary funds, which are not distributable as cash dividends except in the event of a solvent liquidation of the companies. Such restrictions and limitations imposed by the PRC government may also apply to cash transfers in and out of Hong Kong or our subsidiaries incorporated in Hong Kong. For more details, see “Item 5. Operating and Financial Review and Prospects—B. Liquidity and Capital Resources—Holding Company Structure” in our 2025 Form 20-F. For risks relating to the fund flows of our operations in China, see “Risk Factors—Risks Related to Our Corporate Structure—We may rely on dividends paid by our PRC subsidiaries to fund any cash and financing requirements we may have. Any limitation on the ability of our PRC subsidiaries to pay dividends to us could have a material adverse effect on our ability to conduct our business and to pay dividends to holders of the ADSs and our ordinary shares”.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Under PRC laws and regulations, our PRC subsidiaries and the VIEs are subject to certain restrictions with respect to paying dividends or otherwise transferring any of their net assets to us. Remittance of dividends by our PRC subsidiaries out of mainland China is also subject to examination by the banks designated by the State Administration of Foreign Exchange and declaration and payment of withholding tax. The amounts restricted include the paid-up capital and the statutory reserve funds of our PRC subsidiaries and the net assets of the consolidated VIEs in which we have no legal ownership. Our PRC subsidiaries, the VIEs and their subsidiaries generate their revenue primarily in Renminbi, which is not freely convertible into other currencies. As a result, any restriction on currency exchange may limit the ability of our PRC subsidiaries to pay dividends to us. In addition, under the Enterprise Income Tax Law of the PRC and its implementation rules, undistributed profits earned by foreign-invested enterprises prior to January 1, 2008 are exempted from any withholding tax, while profits of a foreign-invested enterprise generated in or after 2008 that are distributed to its immediate holding company outside mainland China are subject to withholding tax at a rate of 10%, unless the foreign holding company’s jurisdiction of incorporation has a tax treaty with China that provides for a reduced rate of withholding tax. For example, a holding company in Hong Kong, subject to approval of the PRC local tax authority, will be eligible to a 5% withholding tax rate under the Arrangement Between the PRC and the Hong Kong Special Administrative Region on the Avoidance of Double Taxation and Prevention of Fiscal Evasion with Respect to Taxes on Income and Capital if such holding company is considered to be a non-PRC resident enterprise and holds at least 25% of the equity interests in the PRC foreign-invested enterprise distributing the dividends. However, if the Hong Kong holding company is not considered to be the beneficial owner of such dividends under applicable PRC tax regulations, such dividend will remain subject to withholding tax at a rate of 10%. See also “Risk Factors—Risks Related to Doing Business in China—Governmental control of currency conversion may limit our ability to utilize our cash balance effectively and affect the value of your investment” and “Item 5. Operating And Financial Review And Prospects—B. Liquidity and Capital Resources—Holding Company Structure” in our 2025 Form 20-F.</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Under PRC laws, Viomi Technology Co., Ltd and its offshore subsidiaries may provide funding to our PRC subsidiaries only through capital contributions or loans, and to the VIEs only through loans, subject to satisfaction of applicable government registration and approval requirements. For the years ended December 31, 2023, 2024 and 2025, Viomi Technology Co., Ltd did not extend any loans to the VIEs.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VIEs may transfer cash to our relevant WFOEs by paying service fees according to the exclusive consultation and service agreements. The VIEs agree in the respective exclusive consultation and service agreements to pay our WFOEs an annual service fee at an amount that is equal to 100% of their respective annual net income or the amount which is adjusted in accordance with our relevant WFOE’s sole discretion for the relevant year as well as the mutually agreed amount for certain other technical services, both of which should be paid within three months after the end of the relevant calendar year. Our WFOEs have the exclusive ownership of all the intellectual property rights created as a result of the performance of the exclusive consultation and service agreement, to the extent permitted by applicable PRC laws. In 2023, 2024 and 2025, our WFOEs did not collect service fees from the VIEs in China under the exclusive consultation and service agreements.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For asset/cash flows other than the cash flows discussed above transferred through our organization in the years ended December 31, 2023, 2024 and 2025, please refer to “Item 3. Key Information—A. Selected Financial Data—Selected Financial Information Related to the VIEs—Selected Condensed Consolidated Cash Flow Data” in our 2025 Form 20-F.</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For the years ended December 31, 2023 and 2024, no dividends or distributions were made to U.S. investors. On July 14, 2025, the board of directors of Viomi Technology Co., Ltd declared a special dividend of US$0.0293 per ordinary share, or US$0.0880 per ADS, to the holders of ordinary shares and holders of ADSs of record as of the close of business on July 31, 2025. On March 25, 2026, the board of directors of Viomi Technology Co., Ltd declared another special dividend of US$0.022 per ordinary share, or US$0.066 per ADS, to the holders of ordinary shares and holders of ADSs of record as of the close of business on April 6, 2026.</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For the years ended December 31, 2023, 2024 and 2025, no dividend or distribution was made to Viomi Technology Co., Ltd or its offshore subsidiaries by our PRC subsidiaries. Accordingly, no withholding tax was recorded in the corresponding period. See “Item 8. Financial Information—A. Consolidated Statements and Other Financial Information—Dividend Policy” in our 2025 Form 20-F. For PRC and United States federal income tax considerations of an investment in our ADSs, see “Item 10. Additional Information—E. Taxation” in our 2025 Form 20-F.</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For purposes of illustration, the following discussion reflects the hypothetical taxes that might be required to be paid within mainland China, assuming that: (i) we have taxable earnings, and (ii) we determine to pay a dividend in the future:</w:t>
      </w:r>
    </w:p>
    <w:p>
      <w:pPr>
        <w:pStyle w:val="TextBody"/>
        <w:bidi w:val="0"/>
        <w:spacing w:before="0" w:after="0"/>
        <w:ind w:left="0" w:right="0" w:firstLine="720"/>
        <w:jc w:val="left"/>
        <w:rPr>
          <w:caps w:val="false"/>
          <w:smallCaps w:val="false"/>
          <w:bdr w:val="single" w:sz="8" w:space="7" w:color="000000"/>
        </w:rPr>
      </w:pPr>
      <w:r>
        <w:rPr>
          <w:caps w:val="false"/>
          <w:smallCaps w:val="false"/>
          <w:bdr w:val="single" w:sz="8" w:space="7" w:color="000000"/>
        </w:rPr>
        <w:t> </w:t>
      </w:r>
    </w:p>
    <w:tbl>
      <w:tblPr>
        <w:tblW w:w="6029" w:type="dxa"/>
        <w:jc w:val="left"/>
        <w:tblInd w:w="0" w:type="dxa"/>
        <w:tblLayout w:type="fixed"/>
        <w:tblCellMar>
          <w:top w:w="0" w:type="dxa"/>
          <w:left w:w="0" w:type="dxa"/>
          <w:bottom w:w="0" w:type="dxa"/>
          <w:right w:w="0" w:type="dxa"/>
        </w:tblCellMar>
      </w:tblPr>
      <w:tblGrid>
        <w:gridCol w:w="3695"/>
        <w:gridCol w:w="60"/>
        <w:gridCol w:w="234"/>
        <w:gridCol w:w="1735"/>
        <w:gridCol w:w="30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Scenario</w:t>
            </w:r>
            <w:r>
              <w:rPr>
                <w:rFonts w:ascii="Times New Roman;Times;Serif" w:hAnsi="Times New Roman;Times;Serif"/>
                <w:b/>
                <w:i w:val="false"/>
                <w:caps w:val="false"/>
                <w:smallCaps w:val="false"/>
                <w:position w:val="7"/>
                <w:sz w:val="16"/>
                <w:sz w:val="20"/>
              </w:rPr>
              <w:t>(1)</w:t>
            </w:r>
          </w:p>
        </w:tc>
        <w:tc>
          <w:tcPr>
            <w:tcW w:w="30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center"/>
          </w:tcPr>
          <w:p>
            <w:pPr>
              <w:pStyle w:val="TableContents"/>
              <w:bidi w:val="0"/>
              <w:jc w:val="center"/>
              <w:rPr>
                <w:b/>
              </w:rPr>
            </w:pPr>
            <w:r>
              <w:rPr>
                <w:b/>
              </w:rPr>
              <w:t>(Statutory Tax and</w:t>
            </w:r>
          </w:p>
          <w:p>
            <w:pPr>
              <w:pStyle w:val="TableContents"/>
              <w:bidi w:val="0"/>
              <w:spacing w:before="0" w:after="283"/>
              <w:jc w:val="center"/>
              <w:rPr>
                <w:b/>
              </w:rPr>
            </w:pPr>
            <w:r>
              <w:rPr>
                <w:b/>
              </w:rPr>
              <w:t>Standard Rates)</w:t>
            </w:r>
          </w:p>
        </w:tc>
        <w:tc>
          <w:tcPr>
            <w:tcW w:w="30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Hypothetical pre-tax earnings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100</w:t>
            </w:r>
          </w:p>
        </w:tc>
        <w:tc>
          <w:tcPr>
            <w:tcW w:w="30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on earnings at statutory rate of 25%</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right"/>
              <w:rPr/>
            </w:pPr>
            <w:r>
              <w:rPr/>
              <w:t>(25</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Net earnings available for distribution</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75</w:t>
            </w:r>
          </w:p>
        </w:tc>
        <w:tc>
          <w:tcPr>
            <w:tcW w:w="30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tax at standard rate of 10%</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right"/>
              <w:rPr/>
            </w:pPr>
            <w:r>
              <w:rPr/>
              <w:t>(7.5</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Net distribution to Parent/Shareholders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67.5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example, the tax calculation has been simplified. The hypothetical book pre-tax earnings amount, not considering timing differences, is assumed to equal taxable income in China.</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contractual arrangements between our PRC subsidiaries, the VIEs and shareholders of the VIEs, our PRC subsidiaries may charge the VIEs for services provided. These fees shall be recognized as expenses of the VIEs, with a corresponding amount as service income by our PRC subsidiaries and eliminate in consolidation. For income tax purposes, our PRC subsidiaries and the VIEs file income tax returns on a separate company basis. The fees paid are recognized as a tax deduction by the VIEs and as income by our PRC subsidiaries and are tax neutral.</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subsidiaries and the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Income Tax Law of the PRC imposes a withholding income tax of 10% on dividends distributed by a foreign invested enterprise to its immediate holding company outside of mainland China. A lower withholding income tax rate of 5% is applied if the FIE’s immediate holding company is registered in Hong Kong or other jurisdictions that have a tax treaty arrangement with mainland China, subject to a qualification review at the time of the distribution. For purposes of this hypothetical example, the table above assumes a maximum tax scenario under which the full withholding tax would be applied.</w:t>
            </w:r>
          </w:p>
        </w:tc>
      </w:tr>
    </w:tbl>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table above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the VIEs could, as a matter of last resort, make a non-deductible transfer to our PRC subsidiaries for the amounts of the stranded cash in the VIEs. This would result in such transfer being non-deductible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The Holding Foreign Companies Accountable Act</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Pursuant to the Holding Foreign Companies Accountable Act, which was enacted on December 18, 2020 and further amended by the Consolidated Appropriations Act, 2023 signed into law on December 29, 2022, or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its determinations that it is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prospectus,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prospectus.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consolidated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The delisting of our ADSs, or the threat of their being delisted, may materially and adversely affect the value of your investment. These risks could result in a material adverse change in our and the VIEs’ operations and the value of our ADSs, significantly limit or completely hinder our ability to continue to offer securities to investors, or cause the value of such securities to significantly decline or become worthless. For a detailed description of risks related to doing business in China, please refer to risks disclosed under “Risk Factors—Risks Related to Doing Business in China”.</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Permission Required from the PRC Authorities for Our and the VIEs’ Operations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conduct business primarily through our subsidiaries and the VIEs and their subsidiaries in China. Our and the VIEs’ operations in China are governed by PRC laws and regulations. To comply with these laws and regulations, prior to the completion of 2024 reorganization transaction, our PRC subsidiaries and the VIEs and their subsidiaries have obtained the requisite licenses and permits from the PRC government authorities that are material for the business operations of our holding company, our PRC subsidiaries and the VIEs in China, including, among others, the business licenses, the hygiene permits for products related to hygiene and safety of potable water, the compulsory product certification and the operating permit for e-commerce services and internet information services. After the completion of the 2024 reorganization transaction, Guangdong Interconnect has obtained the operating permit for e-commerce services and the operating permit for internet information services. According to relevant PRC laws and regulations, we are required to renew these permits and certificates and continue to apply for permits and certificates for our new products. We cannot predict whether or for how long we will be able to obtain such permit and certificates. Given the uncertainties of interpretation and implementation of laws and regulations and the enforcement practice by government authorities, we and the VIEs may be required to obtain additional licenses, permits, filings or approvals for the functions and services of our platform in the future. For more detailed information, see “Risk Factors—Risks Related to Doing Business in China—We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Furthermore, we and the VIEs may be required to obtain permissions from or complete filings with the China Securities Regulatory Commission, or the CSRC, and may be required to go through cybersecurity review by the Cyberspace Administration of China, or the CAC, in case of any future issuance of securities to foreign investors. According to the Trial Measures for Overseas Listing, subsequent securities offerings of an issuer in the same overseas market where it has previously offered and listed securities shall be filed with the CSRC within three business days after the offering is completed. Any failure to obtain or delay in obtaining such approval or completing such procedures would subject us to sanctions by the CSRC, CAC or other PRC regulatory authorities. These regulatory authorities may impose fines and penalties on our and the VIEs’ operations in China, limit our ability to pay dividends outside of China, limit our operating privileges in China, delay or restrict the repatriation of the proceeds from our offshore offerings into China or take other actions that could materially and adversely affect our and the VIEs’ business, financial condition, results of operations, and prospects, as well as the trading price of our ADSs. See “Risk Factors—Risks Related to Doing Business in China—The PRC government’s significant oversight and discretion over our business operation could result in a material adverse change in our operations and the value of our ADSs” and “Risk Factors—Risks Related to Doing Business in China—The approval of and filing with the CSRC or other PRC government authorities may be required if we were to conduct offshore offerings in the future, and, if required, we cannot predict whether or for how long we will be able to obtain such approval or complete such filing”.</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Financial Information Related to the Consolidated Variable Interest Entities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Set forth below are the condensed consolidated schedule showing the financial position as of December 31, 2023, 2024 and 2025, and results of operations and cash flows for the years ended December 31, 2023, 2024 and 2025 for (i) Viomi Technology Co., Ltd, or the Company; (ii) our equity subsidiaries and primary beneficiaries of VIEs (our WFOEs) and their subsidiaries; (iii) the VIEs and their subsidiaries; (iv) eliminating adjustments; and (v) consolidated totals.</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On July 19, 2024, in furtherance of its “Focus” strategy for the Home water solution businesses, the Group entered into definitive agreements with Mr. Chen and an entity under his control to divest its businesses and assets related to certain Internet-of-things-enabled (“IoT-enabled”) smart home portfolio products (the “Disposal”). The transfer of the IoT@Home portfolio products (excluding range hoods, gas stoves, and water heaters) to Mr. Chen was accomplished through the termination of the existing VIE contractual arrangements between Yunmi Hulian Technology (Guangdong) Co., Ltd. (“Yunmi Hulian”) and Foshan Yunmi Electric Appliances Technology Co., Ltd. (“Foshan Viomi”) at closing. This termination resulted in Mr. Chen, the shareholder of Foshan Viomi, obtaining full control over Foshan Viomi and its subsidiaries. As part of a pre-closing reorganization, Zhumeng Hulian Technology (Guangdong) Co., Ltd. (“Zhumeng Hulian”) and Guangdong Interconnect Electric Appliances Technology Co., Ltd. (“Guangdong Interconnect”) entered into a new set of VIE contractual arrangements. Consequently, Zhumeng Hulian is regarded as the primary beneficiary of Guangdong Interconnect and the Group consolidates its operational results, assets, and liabilities into the Group’s consolidated financial statements. The transaction was completed on August 31, 2024.</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Prior to the Disposal, Yunmi Hulian and its subsidiaries were classified as “Primary Beneficiaries of VIEs and their Subsidiaries”, while Zhumeng Hulian and its subsidiaries were classified as “Equity Subsidiaries”. Following the completion of the Disposal on August 31, 2024, Yunmi Hulian and its subsidiaries were reclassified as “Equity Subsidiaries”, and Zhumeng Hulian were reclassified as “Primary Beneficiaries of VIEs and their Subsidiaries”. To enhance the comparability of the selected condensed consolidated financial data before and after the Disposal, we combined the condensed consolidated financial data of both “Equity Subsidiaries” and “Primary Beneficiaries of VIEs and their Subsidiaries” as of December 31, 2024 and 2025, and for the years ended December 31, 2023, 2024 and 2025.</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Selected Condensed Consolidated Statements of Operations Data</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720"/>
        <w:gridCol w:w="60"/>
        <w:gridCol w:w="60"/>
        <w:gridCol w:w="800"/>
        <w:gridCol w:w="95"/>
        <w:gridCol w:w="60"/>
        <w:gridCol w:w="60"/>
        <w:gridCol w:w="1070"/>
        <w:gridCol w:w="95"/>
        <w:gridCol w:w="60"/>
        <w:gridCol w:w="91"/>
        <w:gridCol w:w="964"/>
        <w:gridCol w:w="95"/>
        <w:gridCol w:w="60"/>
        <w:gridCol w:w="83"/>
        <w:gridCol w:w="1212"/>
        <w:gridCol w:w="95"/>
        <w:gridCol w:w="60"/>
        <w:gridCol w:w="72"/>
        <w:gridCol w:w="1283"/>
        <w:gridCol w:w="110"/>
      </w:tblGrid>
      <w:tr>
        <w:trPr/>
        <w:tc>
          <w:tcPr>
            <w:tcW w:w="3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1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110" w:type="dxa"/>
            <w:tcBorders/>
            <w:vAlign w:val="center"/>
          </w:tcPr>
          <w:p>
            <w:pPr>
              <w:pStyle w:val="TableContents"/>
              <w:bidi w:val="0"/>
              <w:spacing w:before="0" w:after="283"/>
              <w:jc w:val="left"/>
              <w:rPr/>
            </w:pPr>
            <w:r>
              <w:rPr/>
              <w:t> </w:t>
            </w:r>
          </w:p>
        </w:tc>
      </w:tr>
      <w:tr>
        <w:trPr/>
        <w:tc>
          <w:tcPr>
            <w:tcW w:w="3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15"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revenues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1,528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pPr>
            <w:r>
              <w:rPr/>
              <w:t>Related-party and third-party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2,428,056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2,428,226</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2,428,067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2,428,226</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(1,811,321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(1,813,226</w:t>
            </w:r>
          </w:p>
        </w:tc>
        <w:tc>
          <w:tcPr>
            <w:tcW w:w="110" w:type="dxa"/>
            <w:tcBorders/>
            <w:shd w:fill="FFFFFF" w:val="clear"/>
            <w:vAlign w:val="center"/>
          </w:tcPr>
          <w:p>
            <w:pPr>
              <w:pStyle w:val="TableContents"/>
              <w:bidi w:val="0"/>
              <w:spacing w:before="0" w:after="283"/>
              <w:jc w:val="left"/>
              <w:rPr>
                <w:b/>
              </w:rPr>
            </w:pPr>
            <w:r>
              <w:rPr>
                <w:b/>
              </w:rPr>
              <w:t>)</w:t>
            </w:r>
          </w:p>
        </w:tc>
      </w:tr>
      <w:tr>
        <w:trPr/>
        <w:tc>
          <w:tcPr>
            <w:tcW w:w="372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(166,500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(165,593</w:t>
            </w:r>
          </w:p>
        </w:tc>
        <w:tc>
          <w:tcPr>
            <w:tcW w:w="110" w:type="dxa"/>
            <w:tcBorders/>
            <w:shd w:fill="CCEEFF" w:val="clear"/>
            <w:vAlign w:val="center"/>
          </w:tcPr>
          <w:p>
            <w:pPr>
              <w:pStyle w:val="TableContents"/>
              <w:bidi w:val="0"/>
              <w:spacing w:before="0" w:after="283"/>
              <w:jc w:val="left"/>
              <w:rPr/>
            </w:pPr>
            <w:r>
              <w:rPr/>
              <w:t>)</w:t>
            </w:r>
          </w:p>
        </w:tc>
      </w:tr>
      <w:tr>
        <w:trPr/>
        <w:tc>
          <w:tcPr>
            <w:tcW w:w="372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(278,179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(277,681</w:t>
            </w:r>
          </w:p>
        </w:tc>
        <w:tc>
          <w:tcPr>
            <w:tcW w:w="110" w:type="dxa"/>
            <w:tcBorders/>
            <w:shd w:fill="FFFFFF" w:val="clear"/>
            <w:vAlign w:val="center"/>
          </w:tcPr>
          <w:p>
            <w:pPr>
              <w:pStyle w:val="TableContents"/>
              <w:bidi w:val="0"/>
              <w:spacing w:before="0" w:after="283"/>
              <w:jc w:val="left"/>
              <w:rPr/>
            </w:pPr>
            <w:r>
              <w:rPr/>
              <w:t>)</w:t>
            </w:r>
          </w:p>
        </w:tc>
      </w:tr>
      <w:tr>
        <w:trPr/>
        <w:tc>
          <w:tcPr>
            <w:tcW w:w="372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(4,582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(81,554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(86,123</w:t>
            </w:r>
          </w:p>
        </w:tc>
        <w:tc>
          <w:tcPr>
            <w:tcW w:w="110" w:type="dxa"/>
            <w:tcBorders/>
            <w:shd w:fill="CCEEFF" w:val="clear"/>
            <w:vAlign w:val="center"/>
          </w:tcPr>
          <w:p>
            <w:pPr>
              <w:pStyle w:val="TableContents"/>
              <w:bidi w:val="0"/>
              <w:spacing w:before="0" w:after="283"/>
              <w:jc w:val="left"/>
              <w:rPr/>
            </w:pPr>
            <w:r>
              <w:rPr/>
              <w:t>)</w:t>
            </w:r>
          </w:p>
        </w:tc>
      </w:tr>
      <w:tr>
        <w:trPr/>
        <w:tc>
          <w:tcPr>
            <w:tcW w:w="372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(4,582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(526,233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rPr>
            </w:pPr>
            <w:r>
              <w:rPr>
                <w:b/>
              </w:rPr>
              <w:t>(121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1,539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(529,397</w:t>
            </w:r>
          </w:p>
        </w:tc>
        <w:tc>
          <w:tcPr>
            <w:tcW w:w="110" w:type="dxa"/>
            <w:tcBorders/>
            <w:shd w:fill="FFFFFF" w:val="clear"/>
            <w:vAlign w:val="center"/>
          </w:tcPr>
          <w:p>
            <w:pPr>
              <w:pStyle w:val="TableContents"/>
              <w:bidi w:val="0"/>
              <w:spacing w:before="0" w:after="283"/>
              <w:jc w:val="left"/>
              <w:rPr>
                <w:b/>
              </w:rPr>
            </w:pPr>
            <w:r>
              <w:rPr>
                <w:b/>
              </w:rPr>
              <w:t>)</w:t>
            </w:r>
          </w:p>
        </w:tc>
      </w:tr>
      <w:tr>
        <w:trPr/>
        <w:tc>
          <w:tcPr>
            <w:tcW w:w="372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43,347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42,951</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 (loss)/gain of subsidiaries/VIEs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127,470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(127,059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b/>
              </w:rPr>
            </w:pPr>
            <w:r>
              <w:rPr>
                <w:b/>
              </w:rPr>
              <w:t>Income/(Loss)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122,578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133,449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b/>
              </w:rPr>
            </w:pPr>
            <w:r>
              <w:rPr>
                <w:b/>
              </w:rPr>
              <w:t>(414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(127,059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128,554</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 and investment income-net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7,464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26,533</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pPr>
            <w:r>
              <w:rPr/>
              <w:t>Other non-operating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w:t>
            </w:r>
          </w:p>
        </w:tc>
      </w:tr>
      <w:tr>
        <w:trPr/>
        <w:tc>
          <w:tcPr>
            <w:tcW w:w="3720" w:type="dxa"/>
            <w:tcBorders/>
            <w:shd w:fill="FFFFFF" w:val="clear"/>
            <w:vAlign w:val="center"/>
          </w:tcPr>
          <w:p>
            <w:pPr>
              <w:pStyle w:val="TableContents"/>
              <w:bidi w:val="0"/>
              <w:spacing w:before="0" w:after="283"/>
              <w:jc w:val="left"/>
              <w:rPr>
                <w:b/>
              </w:rPr>
            </w:pPr>
            <w:r>
              <w:rPr>
                <w:b/>
              </w:rPr>
              <w:t>Income(Loss) before 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141,644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140,413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rPr>
            </w:pPr>
            <w:r>
              <w:rPr>
                <w:b/>
              </w:rPr>
              <w:t>(411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(127,059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154,587</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pPr>
            <w:r>
              <w:rPr/>
              <w:t>Income tax credits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(12,658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(12,658</w:t>
            </w:r>
          </w:p>
        </w:tc>
        <w:tc>
          <w:tcPr>
            <w:tcW w:w="110" w:type="dxa"/>
            <w:tcBorders/>
            <w:shd w:fill="CCEEFF" w:val="clear"/>
            <w:vAlign w:val="center"/>
          </w:tcPr>
          <w:p>
            <w:pPr>
              <w:pStyle w:val="TableContents"/>
              <w:bidi w:val="0"/>
              <w:spacing w:before="0" w:after="283"/>
              <w:jc w:val="left"/>
              <w:rPr/>
            </w:pPr>
            <w:r>
              <w:rPr/>
              <w:t>)</w:t>
            </w:r>
          </w:p>
        </w:tc>
      </w:tr>
      <w:tr>
        <w:trPr/>
        <w:tc>
          <w:tcPr>
            <w:tcW w:w="3720" w:type="dxa"/>
            <w:tcBorders/>
            <w:shd w:fill="FFFFFF" w:val="clear"/>
            <w:vAlign w:val="center"/>
          </w:tcPr>
          <w:p>
            <w:pPr>
              <w:pStyle w:val="TableContents"/>
              <w:bidi w:val="0"/>
              <w:spacing w:before="0" w:after="283"/>
              <w:jc w:val="left"/>
              <w:rPr>
                <w:b/>
              </w:rPr>
            </w:pPr>
            <w:r>
              <w:rPr>
                <w:b/>
              </w:rPr>
              <w:t>Net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141,644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127,755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rPr>
            </w:pPr>
            <w:r>
              <w:rPr>
                <w:b/>
              </w:rPr>
              <w:t>(411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(127,059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141,929</w:t>
            </w:r>
          </w:p>
        </w:tc>
        <w:tc>
          <w:tcPr>
            <w:tcW w:w="110" w:type="dxa"/>
            <w:tcBorders/>
            <w:shd w:fill="FFFFFF" w:val="clear"/>
            <w:vAlign w:val="center"/>
          </w:tcPr>
          <w:p>
            <w:pPr>
              <w:pStyle w:val="TableContents"/>
              <w:bidi w:val="0"/>
              <w:spacing w:before="0" w:after="283"/>
              <w:jc w:val="left"/>
              <w:rPr/>
            </w:pPr>
            <w:r>
              <w:rPr/>
              <w:t> </w:t>
            </w:r>
          </w:p>
        </w:tc>
      </w:tr>
      <w:tr>
        <w:trPr/>
        <w:tc>
          <w:tcPr>
            <w:tcW w:w="3720" w:type="dxa"/>
            <w:tcBorders/>
            <w:shd w:fill="CCEEFF" w:val="clear"/>
            <w:vAlign w:val="center"/>
          </w:tcPr>
          <w:p>
            <w:pPr>
              <w:pStyle w:val="TableContents"/>
              <w:bidi w:val="0"/>
              <w:spacing w:before="0" w:after="283"/>
              <w:jc w:val="left"/>
              <w:rPr/>
            </w:pPr>
            <w:r>
              <w:rPr/>
              <w:t>Less: Net loss attributable to the non-controlling interest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285</w:t>
            </w:r>
          </w:p>
        </w:tc>
        <w:tc>
          <w:tcPr>
            <w:tcW w:w="110" w:type="dxa"/>
            <w:tcBorders/>
            <w:shd w:fill="CCEEFF" w:val="clear"/>
            <w:vAlign w:val="center"/>
          </w:tcPr>
          <w:p>
            <w:pPr>
              <w:pStyle w:val="TableContents"/>
              <w:bidi w:val="0"/>
              <w:spacing w:before="0" w:after="283"/>
              <w:jc w:val="left"/>
              <w:rPr/>
            </w:pPr>
            <w:r>
              <w:rPr/>
              <w:t> </w:t>
            </w:r>
          </w:p>
        </w:tc>
      </w:tr>
      <w:tr>
        <w:trPr/>
        <w:tc>
          <w:tcPr>
            <w:tcW w:w="3720" w:type="dxa"/>
            <w:tcBorders/>
            <w:shd w:fill="FFFFFF" w:val="clear"/>
            <w:vAlign w:val="center"/>
          </w:tcPr>
          <w:p>
            <w:pPr>
              <w:pStyle w:val="TableContents"/>
              <w:bidi w:val="0"/>
              <w:spacing w:before="0" w:after="283"/>
              <w:jc w:val="left"/>
              <w:rPr>
                <w:b/>
              </w:rPr>
            </w:pPr>
            <w:r>
              <w:rPr>
                <w:b/>
              </w:rPr>
              <w:t>Net income/(loss) from attributable to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141,644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127,470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rPr>
            </w:pPr>
            <w:r>
              <w:rPr>
                <w:b/>
              </w:rPr>
              <w:t>(411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(127,059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141,644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735"/>
        <w:gridCol w:w="60"/>
        <w:gridCol w:w="68"/>
        <w:gridCol w:w="777"/>
        <w:gridCol w:w="95"/>
        <w:gridCol w:w="60"/>
        <w:gridCol w:w="60"/>
        <w:gridCol w:w="1070"/>
        <w:gridCol w:w="95"/>
        <w:gridCol w:w="60"/>
        <w:gridCol w:w="67"/>
        <w:gridCol w:w="988"/>
        <w:gridCol w:w="95"/>
        <w:gridCol w:w="60"/>
        <w:gridCol w:w="83"/>
        <w:gridCol w:w="1212"/>
        <w:gridCol w:w="95"/>
        <w:gridCol w:w="60"/>
        <w:gridCol w:w="72"/>
        <w:gridCol w:w="1283"/>
        <w:gridCol w:w="110"/>
      </w:tblGrid>
      <w:tr>
        <w:trPr/>
        <w:tc>
          <w:tcPr>
            <w:tcW w:w="3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30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110" w:type="dxa"/>
            <w:tcBorders/>
            <w:vAlign w:val="center"/>
          </w:tcPr>
          <w:p>
            <w:pPr>
              <w:pStyle w:val="TableContents"/>
              <w:bidi w:val="0"/>
              <w:spacing w:before="0" w:after="283"/>
              <w:jc w:val="left"/>
              <w:rPr/>
            </w:pPr>
            <w:r>
              <w:rPr/>
              <w:t> </w:t>
            </w:r>
          </w:p>
        </w:tc>
      </w:tr>
      <w:tr>
        <w:trPr/>
        <w:tc>
          <w:tcPr>
            <w:tcW w:w="3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0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revenues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532,323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49,679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(582,002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Related-party and third-party revenues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1,215,580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903,402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2,118,982</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1,747,903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953,081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(582,002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2,118,982</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(1,434,056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(845,527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709,307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(1,570,276</w:t>
            </w:r>
          </w:p>
        </w:tc>
        <w:tc>
          <w:tcPr>
            <w:tcW w:w="110" w:type="dxa"/>
            <w:tcBorders/>
            <w:shd w:fill="FFFFFF" w:val="clear"/>
            <w:vAlign w:val="center"/>
          </w:tcPr>
          <w:p>
            <w:pPr>
              <w:pStyle w:val="TableContents"/>
              <w:bidi w:val="0"/>
              <w:spacing w:before="0" w:after="283"/>
              <w:jc w:val="left"/>
              <w:rPr>
                <w:b/>
              </w:rPr>
            </w:pPr>
            <w:r>
              <w:rPr>
                <w:b/>
              </w:rPr>
              <w:t>)</w:t>
            </w:r>
          </w:p>
        </w:tc>
      </w:tr>
      <w:tr>
        <w:trPr/>
        <w:tc>
          <w:tcPr>
            <w:tcW w:w="373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(99,470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(44,692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(142,884</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(155,674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(77,433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21,934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(211,173</w:t>
            </w:r>
          </w:p>
        </w:tc>
        <w:tc>
          <w:tcPr>
            <w:tcW w:w="110" w:type="dxa"/>
            <w:tcBorders/>
            <w:shd w:fill="FFFFFF" w:val="clear"/>
            <w:vAlign w:val="center"/>
          </w:tcPr>
          <w:p>
            <w:pPr>
              <w:pStyle w:val="TableContents"/>
              <w:bidi w:val="0"/>
              <w:spacing w:before="0" w:after="283"/>
              <w:jc w:val="left"/>
              <w:rPr/>
            </w:pPr>
            <w:r>
              <w:rPr/>
              <w:t>)</w:t>
            </w:r>
          </w:p>
        </w:tc>
      </w:tr>
      <w:tr>
        <w:trPr/>
        <w:tc>
          <w:tcPr>
            <w:tcW w:w="373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pPr>
            <w:r>
              <w:rPr/>
              <w:t>(5,768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(56,513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(11,807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3,281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(70,807</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b/>
              </w:rPr>
            </w:pPr>
            <w:r>
              <w:rPr>
                <w:b/>
              </w:rPr>
              <w:t>(5,768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(311,657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(133,932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26,493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(424,864</w:t>
            </w:r>
          </w:p>
        </w:tc>
        <w:tc>
          <w:tcPr>
            <w:tcW w:w="110" w:type="dxa"/>
            <w:tcBorders/>
            <w:shd w:fill="FFFFFF" w:val="clear"/>
            <w:vAlign w:val="center"/>
          </w:tcPr>
          <w:p>
            <w:pPr>
              <w:pStyle w:val="TableContents"/>
              <w:bidi w:val="0"/>
              <w:spacing w:before="0" w:after="283"/>
              <w:jc w:val="left"/>
              <w:rPr>
                <w:b/>
              </w:rPr>
            </w:pPr>
            <w:r>
              <w:rPr>
                <w:b/>
              </w:rPr>
              <w:t>)</w:t>
            </w:r>
          </w:p>
        </w:tc>
      </w:tr>
      <w:tr>
        <w:trPr/>
        <w:tc>
          <w:tcPr>
            <w:tcW w:w="373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21,609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10,883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32,492</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 gain of subsidiaries/VIEs</w:t>
            </w:r>
            <w:r>
              <w:rPr>
                <w:rFonts w:ascii="Times New Roman;Times;Serif" w:hAnsi="Times New Roman;Times;Serif"/>
                <w:position w:val="7"/>
                <w:sz w:val="16"/>
                <w:sz w:val="20"/>
              </w:rPr>
              <w:t>(2)(4)</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78,525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81,687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(160,212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Income/(Loss) from operations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72,757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105,486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(15,495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(6,414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156,334</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(expenses)/income and investment income-net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(7,932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(20,471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23,667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5,264</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Income before income tax expenses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64,825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85,015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8,172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3,586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161,598</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Income tax credits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(16,901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(16,913</w:t>
            </w:r>
          </w:p>
        </w:tc>
        <w:tc>
          <w:tcPr>
            <w:tcW w:w="110" w:type="dxa"/>
            <w:tcBorders/>
            <w:shd w:fill="FFFFFF" w:val="clear"/>
            <w:vAlign w:val="center"/>
          </w:tcPr>
          <w:p>
            <w:pPr>
              <w:pStyle w:val="TableContents"/>
              <w:bidi w:val="0"/>
              <w:spacing w:before="0" w:after="283"/>
              <w:jc w:val="left"/>
              <w:rPr/>
            </w:pPr>
            <w:r>
              <w:rPr/>
              <w:t>)</w:t>
            </w:r>
          </w:p>
        </w:tc>
      </w:tr>
      <w:tr>
        <w:trPr/>
        <w:tc>
          <w:tcPr>
            <w:tcW w:w="3735" w:type="dxa"/>
            <w:tcBorders/>
            <w:shd w:fill="CCEEFF" w:val="clear"/>
            <w:vAlign w:val="center"/>
          </w:tcPr>
          <w:p>
            <w:pPr>
              <w:pStyle w:val="TableContents"/>
              <w:bidi w:val="0"/>
              <w:spacing w:before="0" w:after="283"/>
              <w:jc w:val="left"/>
              <w:rPr>
                <w:b/>
              </w:rPr>
            </w:pPr>
            <w:r>
              <w:rPr>
                <w:b/>
              </w:rPr>
              <w:t>Net income/(loss) from continuing operations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64,825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68,114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8,160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3,586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144,685</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Less: Net loss from continuing operations attributable to the non-controlling interest shareholders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321</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Net income from continuing operations attributable to the Company</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64,825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67,771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8,182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3,586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144,364</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from discontinued operations attributable to the Company</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(1,411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9,330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(79,539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(9,330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(80,950</w:t>
            </w:r>
          </w:p>
        </w:tc>
        <w:tc>
          <w:tcPr>
            <w:tcW w:w="110" w:type="dxa"/>
            <w:tcBorders/>
            <w:shd w:fill="FFFFFF" w:val="clear"/>
            <w:vAlign w:val="center"/>
          </w:tcPr>
          <w:p>
            <w:pPr>
              <w:pStyle w:val="TableContents"/>
              <w:bidi w:val="0"/>
              <w:spacing w:before="0" w:after="283"/>
              <w:jc w:val="left"/>
              <w:rPr/>
            </w:pPr>
            <w:r>
              <w:rPr/>
              <w:t>)</w:t>
            </w:r>
          </w:p>
        </w:tc>
      </w:tr>
      <w:tr>
        <w:trPr/>
        <w:tc>
          <w:tcPr>
            <w:tcW w:w="3735" w:type="dxa"/>
            <w:tcBorders/>
            <w:shd w:fill="CCEEFF" w:val="clear"/>
            <w:vAlign w:val="center"/>
          </w:tcPr>
          <w:p>
            <w:pPr>
              <w:pStyle w:val="TableContents"/>
              <w:bidi w:val="0"/>
              <w:spacing w:before="0" w:after="283"/>
              <w:jc w:val="left"/>
              <w:rPr>
                <w:b/>
              </w:rPr>
            </w:pPr>
            <w:r>
              <w:rPr>
                <w:b/>
              </w:rPr>
              <w:t>Net income/(loss) from attributable to the Company</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b/>
              </w:rPr>
            </w:pPr>
            <w:r>
              <w:rPr>
                <w:b/>
              </w:rPr>
              <w:t>63,414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77,101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(71,357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(5,744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63,414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75"/>
        <w:gridCol w:w="60"/>
        <w:gridCol w:w="62"/>
        <w:gridCol w:w="783"/>
        <w:gridCol w:w="95"/>
        <w:gridCol w:w="60"/>
        <w:gridCol w:w="72"/>
        <w:gridCol w:w="1058"/>
        <w:gridCol w:w="95"/>
        <w:gridCol w:w="60"/>
        <w:gridCol w:w="60"/>
        <w:gridCol w:w="1055"/>
        <w:gridCol w:w="95"/>
        <w:gridCol w:w="60"/>
        <w:gridCol w:w="83"/>
        <w:gridCol w:w="1212"/>
        <w:gridCol w:w="95"/>
        <w:gridCol w:w="60"/>
        <w:gridCol w:w="72"/>
        <w:gridCol w:w="1283"/>
        <w:gridCol w:w="110"/>
      </w:tblGrid>
      <w:tr>
        <w:trPr/>
        <w:tc>
          <w:tcPr>
            <w:tcW w:w="3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2023</w:t>
            </w:r>
          </w:p>
        </w:tc>
        <w:tc>
          <w:tcPr>
            <w:tcW w:w="110" w:type="dxa"/>
            <w:tcBorders/>
            <w:vAlign w:val="center"/>
          </w:tcPr>
          <w:p>
            <w:pPr>
              <w:pStyle w:val="TableContents"/>
              <w:bidi w:val="0"/>
              <w:spacing w:before="0" w:after="283"/>
              <w:jc w:val="left"/>
              <w:rPr/>
            </w:pPr>
            <w:r>
              <w:rPr/>
              <w:t> </w:t>
            </w:r>
          </w:p>
        </w:tc>
      </w:tr>
      <w:tr>
        <w:trPr/>
        <w:tc>
          <w:tcPr>
            <w:tcW w:w="3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revenues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789,785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(813,129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pPr>
            <w:r>
              <w:rPr/>
              <w:t>Related-party and third-party revenues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205,664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1,433,072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1,638,736</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995,449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1,456,416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(813,129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1,638,736</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(785,736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(1,140,254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809,270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(1,116,720</w:t>
            </w:r>
          </w:p>
        </w:tc>
        <w:tc>
          <w:tcPr>
            <w:tcW w:w="110" w:type="dxa"/>
            <w:tcBorders/>
            <w:shd w:fill="FFFFFF" w:val="clear"/>
            <w:vAlign w:val="center"/>
          </w:tcPr>
          <w:p>
            <w:pPr>
              <w:pStyle w:val="TableContents"/>
              <w:bidi w:val="0"/>
              <w:spacing w:before="0" w:after="283"/>
              <w:jc w:val="left"/>
              <w:rPr>
                <w:b/>
              </w:rPr>
            </w:pPr>
            <w:r>
              <w:rPr>
                <w:b/>
              </w:rPr>
              <w:t>)</w:t>
            </w:r>
          </w:p>
        </w:tc>
      </w:tr>
      <w:tr>
        <w:trPr/>
        <w:tc>
          <w:tcPr>
            <w:tcW w:w="367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(59,858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(148,879</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 expenses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(111,961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(182,496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79,847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(214,610</w:t>
            </w:r>
          </w:p>
        </w:tc>
        <w:tc>
          <w:tcPr>
            <w:tcW w:w="110" w:type="dxa"/>
            <w:tcBorders/>
            <w:shd w:fill="FFFFFF" w:val="clear"/>
            <w:vAlign w:val="center"/>
          </w:tcPr>
          <w:p>
            <w:pPr>
              <w:pStyle w:val="TableContents"/>
              <w:bidi w:val="0"/>
              <w:spacing w:before="0" w:after="283"/>
              <w:jc w:val="left"/>
              <w:rPr/>
            </w:pPr>
            <w:r>
              <w:rPr/>
              <w:t>)</w:t>
            </w:r>
          </w:p>
        </w:tc>
      </w:tr>
      <w:tr>
        <w:trPr/>
        <w:tc>
          <w:tcPr>
            <w:tcW w:w="3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(5,072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(20,628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(33,746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2,100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(57,346</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(5,072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(192,447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(305,263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81,947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(420,835</w:t>
            </w:r>
          </w:p>
        </w:tc>
        <w:tc>
          <w:tcPr>
            <w:tcW w:w="110" w:type="dxa"/>
            <w:tcBorders/>
            <w:shd w:fill="FFFFFF" w:val="clear"/>
            <w:vAlign w:val="center"/>
          </w:tcPr>
          <w:p>
            <w:pPr>
              <w:pStyle w:val="TableContents"/>
              <w:bidi w:val="0"/>
              <w:spacing w:before="0" w:after="283"/>
              <w:jc w:val="left"/>
              <w:rPr>
                <w:b/>
              </w:rPr>
            </w:pPr>
            <w:r>
              <w:rPr>
                <w:b/>
              </w:rPr>
              <w:t>)</w:t>
            </w:r>
          </w:p>
        </w:tc>
      </w:tr>
      <w:tr>
        <w:trPr/>
        <w:tc>
          <w:tcPr>
            <w:tcW w:w="367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7,370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8,887</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 loss of subsidiaries/VIEs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(74,290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(178,945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253,235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b/>
              </w:rPr>
            </w:pPr>
            <w:r>
              <w:rPr>
                <w:b/>
              </w:rPr>
              <w:t>Income/(Loss) from operations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b/>
              </w:rPr>
            </w:pPr>
            <w:r>
              <w:rPr>
                <w:b/>
              </w:rPr>
              <w:t>(79,362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b/>
              </w:rPr>
            </w:pPr>
            <w:r>
              <w:rPr>
                <w:b/>
              </w:rPr>
              <w:t>(154,309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12,416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331,323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110,068</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(expenses)/income and investment income-net</w:t>
            </w:r>
            <w:r>
              <w:rPr>
                <w:rFonts w:ascii="Times New Roman;Times;Serif" w:hAnsi="Times New Roman;Times;Serif"/>
                <w:position w:val="7"/>
                <w:sz w:val="16"/>
                <w:sz w:val="20"/>
              </w:rPr>
              <w:t>(3)(4)</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(7,006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16,831</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pPr>
            <w:r>
              <w:rPr/>
              <w:t>Other non-operating income</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3,164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3,164</w:t>
            </w:r>
          </w:p>
        </w:tc>
        <w:tc>
          <w:tcPr>
            <w:tcW w:w="110" w:type="dxa"/>
            <w:tcBorders/>
            <w:shd w:fill="CCEEFF" w:val="clear"/>
            <w:vAlign w:val="center"/>
          </w:tcPr>
          <w:p>
            <w:pPr>
              <w:pStyle w:val="TableContents"/>
              <w:bidi w:val="0"/>
              <w:spacing w:before="0" w:after="283"/>
              <w:jc w:val="left"/>
              <w:rPr/>
            </w:pPr>
            <w:r>
              <w:rPr/>
              <w:t> </w:t>
            </w:r>
          </w:p>
        </w:tc>
      </w:tr>
      <w:tr>
        <w:trPr/>
        <w:tc>
          <w:tcPr>
            <w:tcW w:w="3675" w:type="dxa"/>
            <w:tcBorders/>
            <w:shd w:fill="FFFFFF" w:val="clear"/>
            <w:vAlign w:val="center"/>
          </w:tcPr>
          <w:p>
            <w:pPr>
              <w:pStyle w:val="TableContents"/>
              <w:bidi w:val="0"/>
              <w:spacing w:before="0" w:after="283"/>
              <w:jc w:val="left"/>
              <w:rPr>
                <w:b/>
              </w:rPr>
            </w:pPr>
            <w:r>
              <w:rPr>
                <w:b/>
              </w:rPr>
              <w:t>Income(Loss) before income tax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(83,204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(151,967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33,911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331,323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130,063</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pPr>
            <w:r>
              <w:rPr/>
              <w:t>Income tax credits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(8,723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(13,588</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b/>
              </w:rPr>
            </w:pPr>
            <w:r>
              <w:rPr>
                <w:b/>
              </w:rPr>
              <w:t>Net income/(loss) from continuing operations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(83,204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(160,690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29,046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331,323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116,475</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pPr>
            <w:r>
              <w:rPr/>
              <w:t>Less: Net loss from continuing operations attributable to the non-controlling interest shareholders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8" w:space="0" w:color="000000"/>
            </w:tcBorders>
            <w:shd w:fill="CCEEFF" w:val="clear"/>
            <w:tcMar>
              <w:bottom w:w="28" w:type="dxa"/>
            </w:tcM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b/>
              </w:rPr>
            </w:pPr>
            <w:r>
              <w:rPr>
                <w:b/>
              </w:rPr>
              <w:t>Net income/(loss) from continuing operations attributable to the Company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(83,204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(160,690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29,339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331,323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116,768</w:t>
            </w:r>
          </w:p>
        </w:tc>
        <w:tc>
          <w:tcPr>
            <w:tcW w:w="110" w:type="dxa"/>
            <w:tcBorders/>
            <w:shd w:fill="FFFFFF" w:val="clear"/>
            <w:vAlign w:val="center"/>
          </w:tcPr>
          <w:p>
            <w:pPr>
              <w:pStyle w:val="TableContents"/>
              <w:bidi w:val="0"/>
              <w:spacing w:before="0" w:after="283"/>
              <w:jc w:val="left"/>
              <w:rPr/>
            </w:pPr>
            <w:r>
              <w:rPr/>
              <w:t> </w:t>
            </w:r>
          </w:p>
        </w:tc>
      </w:tr>
      <w:tr>
        <w:trPr/>
        <w:tc>
          <w:tcPr>
            <w:tcW w:w="3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income/(loss) from discontinued operations attributable to the Company</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(1,470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(240,685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(201,442</w:t>
            </w:r>
          </w:p>
        </w:tc>
        <w:tc>
          <w:tcPr>
            <w:tcW w:w="110" w:type="dxa"/>
            <w:tcBorders/>
            <w:shd w:fill="CCEEFF" w:val="clear"/>
            <w:vAlign w:val="center"/>
          </w:tcPr>
          <w:p>
            <w:pPr>
              <w:pStyle w:val="TableContents"/>
              <w:bidi w:val="0"/>
              <w:spacing w:before="0" w:after="283"/>
              <w:jc w:val="left"/>
              <w:rPr/>
            </w:pPr>
            <w:r>
              <w:rPr/>
              <w:t>)</w:t>
            </w:r>
          </w:p>
        </w:tc>
      </w:tr>
      <w:tr>
        <w:trPr/>
        <w:tc>
          <w:tcPr>
            <w:tcW w:w="3675" w:type="dxa"/>
            <w:tcBorders/>
            <w:shd w:fill="FFFFFF" w:val="clear"/>
            <w:vAlign w:val="center"/>
          </w:tcPr>
          <w:p>
            <w:pPr>
              <w:pStyle w:val="TableContents"/>
              <w:bidi w:val="0"/>
              <w:spacing w:before="0" w:after="283"/>
              <w:jc w:val="left"/>
              <w:rPr>
                <w:b/>
              </w:rPr>
            </w:pPr>
            <w:r>
              <w:rPr>
                <w:b/>
              </w:rPr>
              <w:t>Net income/(loss) from attributable to the Company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b/>
              </w:rPr>
            </w:pPr>
            <w:r>
              <w:rPr>
                <w:b/>
              </w:rPr>
              <w:t>(84,674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rPr>
            </w:pPr>
            <w:r>
              <w:rPr>
                <w:b/>
              </w:rPr>
              <w:t>(160,690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70,052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90,638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(84,674</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inter-company transactions among the VIEs and equity subsidiaries and primary beneficiaries of VIEs and their subsidiaries. In 2023, 2024 and 2025, primary beneficiaries of VIEs and their subsidiaries did not charge any service fee from the VIEs in China under the exclusive consultation and service agreements.</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investment in VIEs and subsidiaries by the Company.</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finance costs of loans among the Company, the VIEs and our subsidiaries charged at the consolidation level.</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adjustments were made retrospectively in the selected condensed consolidated financial data for the years ended December 31, 2023 and 2024 to reallocate the transactions pertaining to discontinued operations and reflect the corresponding effects more properly in the consolidating schedule.</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Selected Condensed Consolidated Balance Sheets Data</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80"/>
        <w:gridCol w:w="60"/>
        <w:gridCol w:w="60"/>
        <w:gridCol w:w="980"/>
        <w:gridCol w:w="60"/>
        <w:gridCol w:w="60"/>
        <w:gridCol w:w="65"/>
        <w:gridCol w:w="1065"/>
        <w:gridCol w:w="60"/>
        <w:gridCol w:w="60"/>
        <w:gridCol w:w="73"/>
        <w:gridCol w:w="982"/>
        <w:gridCol w:w="60"/>
        <w:gridCol w:w="60"/>
        <w:gridCol w:w="69"/>
        <w:gridCol w:w="1226"/>
        <w:gridCol w:w="95"/>
        <w:gridCol w:w="60"/>
        <w:gridCol w:w="78"/>
        <w:gridCol w:w="127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469,483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334,198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806,599</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79,931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82,598</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Accounts receivable from third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25,720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24,535</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Accounts receivable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294,958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45,215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340,173</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126,811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126,879</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501,851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73,731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173,911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(749,493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in subsidiaries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(471,430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in VIEs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506,061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(506,061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660,149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758,191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5,163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(413,339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1,010,164</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1,639,015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2,334,886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513,340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(2,096,293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2,390,948</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Accounts and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516,989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517,878</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199,699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210,160</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106,881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642,518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(749,493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130,645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1,305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(1,304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130,646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1,489,851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(750,797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858,684</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Total equity attributable to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1,526,663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839,435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b/>
              </w:rPr>
            </w:pPr>
            <w:r>
              <w:rPr>
                <w:b/>
              </w:rPr>
              <w:t>506,061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(1,345,496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b/>
              </w:rPr>
            </w:pPr>
            <w:r>
              <w:rPr>
                <w:b/>
              </w:rPr>
              <w:t>1,526,663</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5,601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5,601</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1,526,663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845,036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506,061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(1,345,496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1,532,264</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1,639,015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2,334,887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513,339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(2,096,293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2,390,948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80"/>
        <w:gridCol w:w="60"/>
        <w:gridCol w:w="60"/>
        <w:gridCol w:w="980"/>
        <w:gridCol w:w="60"/>
        <w:gridCol w:w="60"/>
        <w:gridCol w:w="65"/>
        <w:gridCol w:w="1065"/>
        <w:gridCol w:w="60"/>
        <w:gridCol w:w="60"/>
        <w:gridCol w:w="73"/>
        <w:gridCol w:w="982"/>
        <w:gridCol w:w="60"/>
        <w:gridCol w:w="60"/>
        <w:gridCol w:w="69"/>
        <w:gridCol w:w="1226"/>
        <w:gridCol w:w="95"/>
        <w:gridCol w:w="60"/>
        <w:gridCol w:w="78"/>
        <w:gridCol w:w="127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854,426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1,026,188</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72,500</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Accounts receivable from third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24,043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24,105</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Accounts receivable from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591,221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591,221</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112,257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112,325</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542,635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498,455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(1,041,090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in subsidiaries</w:t>
            </w:r>
            <w:r>
              <w:rPr>
                <w:rFonts w:ascii="Times New Roman;Times;Serif" w:hAnsi="Times New Roman;Times;Serif"/>
                <w:position w:val="7"/>
                <w:sz w:val="16"/>
                <w:sz w:val="20"/>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(696,911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in VIEs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506,482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(506,482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132,063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620,860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6,438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759,361</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1,536,192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2,781,789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(2,244,483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2,585,700</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Accounts and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767,831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772,151</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218,820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(40,501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182,619</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911,880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(1,000,545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180,987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181,173</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91,751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2,079,518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(1,041,046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1,135,943</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equity attributable to shareholders of the Company </w:t>
            </w:r>
            <w:r>
              <w:rPr>
                <w:rFonts w:ascii="Times New Roman;Times;Serif" w:hAnsi="Times New Roman;Times;Serif"/>
                <w:b/>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1,444,441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b/>
              </w:rPr>
            </w:pPr>
            <w:r>
              <w:rPr>
                <w:b/>
              </w:rPr>
              <w:t>695,720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b/>
              </w:rPr>
            </w:pPr>
            <w:r>
              <w:rPr>
                <w:b/>
              </w:rPr>
              <w:t>506,482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b/>
              </w:rPr>
            </w:pPr>
            <w:r>
              <w:rPr>
                <w:b/>
              </w:rPr>
              <w:t>(1,202,202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b/>
              </w:rPr>
            </w:pPr>
            <w:r>
              <w:rPr>
                <w:b/>
              </w:rPr>
              <w:t>1,444,441</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6,551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(1,235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5,316</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1,444,441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702,271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506,482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(1,203,437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1,449,757</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1,536,192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2,781,789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(2,244,483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2,585,700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4195"/>
        <w:gridCol w:w="60"/>
        <w:gridCol w:w="60"/>
        <w:gridCol w:w="845"/>
        <w:gridCol w:w="60"/>
        <w:gridCol w:w="60"/>
        <w:gridCol w:w="74"/>
        <w:gridCol w:w="1056"/>
        <w:gridCol w:w="60"/>
        <w:gridCol w:w="60"/>
        <w:gridCol w:w="69"/>
        <w:gridCol w:w="986"/>
        <w:gridCol w:w="80"/>
        <w:gridCol w:w="60"/>
        <w:gridCol w:w="69"/>
        <w:gridCol w:w="1046"/>
        <w:gridCol w:w="80"/>
        <w:gridCol w:w="60"/>
        <w:gridCol w:w="74"/>
        <w:gridCol w:w="1056"/>
        <w:gridCol w:w="95"/>
      </w:tblGrid>
      <w:tr>
        <w:trPr/>
        <w:tc>
          <w:tcPr>
            <w:tcW w:w="4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5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55" w:type="dxa"/>
            <w:gridSpan w:val="18"/>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 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from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from a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Group companies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640,828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797,159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(1,437,987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subsidiaries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(660,932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VIEs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578,818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(578,818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533,737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698,870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1,632,104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1,437,632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2,271,677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2,357,622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(3,312,543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2,754,388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and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317,454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317,454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Group companies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(1,069,703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1,728,171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(1,002,443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725,728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89,099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1,606,742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1,787,056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(2,072,146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1,410,751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attributable to shareholders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1,348,533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660,932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578,818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(1,240,397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1,347,886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1,348,533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664,935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570,566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(1,240,397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1,343,637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1,437,632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2,271,677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2,357,622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(3,312,543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2,754,388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inter-company balances among the Company, the VIEs and our subsidiaries.</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investment in VIEs and subsidiaries by the Company.</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adjustments were made retrospectively in the selected condensed consolidated financial data for the years ended December 31, 2023 and 2024 to reallocate the transactions pertaining to discontinued operations and reflect the corresponding effects more properly in the consolidating schedule.</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Selected Condensed Consolidated Cash Flow Data</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45"/>
        <w:gridCol w:w="60"/>
        <w:gridCol w:w="60"/>
        <w:gridCol w:w="875"/>
        <w:gridCol w:w="95"/>
        <w:gridCol w:w="60"/>
        <w:gridCol w:w="60"/>
        <w:gridCol w:w="1070"/>
        <w:gridCol w:w="95"/>
        <w:gridCol w:w="60"/>
        <w:gridCol w:w="67"/>
        <w:gridCol w:w="988"/>
        <w:gridCol w:w="95"/>
        <w:gridCol w:w="60"/>
        <w:gridCol w:w="69"/>
        <w:gridCol w:w="1226"/>
        <w:gridCol w:w="95"/>
        <w:gridCol w:w="60"/>
        <w:gridCol w:w="78"/>
        <w:gridCol w:w="1277"/>
        <w:gridCol w:w="110"/>
      </w:tblGrid>
      <w:tr>
        <w:trPr/>
        <w:tc>
          <w:tcPr>
            <w:tcW w:w="3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110"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goods and services to Group companies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goods and services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(1,528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Other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111,820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29,002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12,313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154,638</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b/>
              </w:rPr>
            </w:pPr>
            <w:r>
              <w:rPr>
                <w:b/>
              </w:rPr>
              <w:t>Net cash provided by continuing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111,820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154,638</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Receipts from repayment of advances by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762,936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(1,742,936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Other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(122,020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(110,844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(232,864</w:t>
            </w:r>
          </w:p>
        </w:tc>
        <w:tc>
          <w:tcPr>
            <w:tcW w:w="110" w:type="dxa"/>
            <w:tcBorders/>
            <w:shd w:fill="FFFFFF" w:val="clear"/>
            <w:vAlign w:val="center"/>
          </w:tcPr>
          <w:p>
            <w:pPr>
              <w:pStyle w:val="TableContents"/>
              <w:bidi w:val="0"/>
              <w:spacing w:before="0" w:after="283"/>
              <w:jc w:val="left"/>
              <w:rPr/>
            </w:pPr>
            <w:r>
              <w:rPr/>
              <w:t>)</w:t>
            </w:r>
          </w:p>
        </w:tc>
      </w:tr>
      <w:tr>
        <w:trPr/>
        <w:tc>
          <w:tcPr>
            <w:tcW w:w="3645" w:type="dxa"/>
            <w:tcBorders/>
            <w:shd w:fill="CCEEFF" w:val="clear"/>
            <w:vAlign w:val="center"/>
          </w:tcPr>
          <w:p>
            <w:pPr>
              <w:pStyle w:val="TableContents"/>
              <w:bidi w:val="0"/>
              <w:spacing w:before="0" w:after="283"/>
              <w:jc w:val="left"/>
              <w:rPr>
                <w:b/>
              </w:rPr>
            </w:pPr>
            <w:r>
              <w:rPr>
                <w:b/>
              </w:rPr>
              <w:t>Net cash provided by/(used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(122,020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652,092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(1,742,936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(232,864</w:t>
            </w:r>
          </w:p>
        </w:tc>
        <w:tc>
          <w:tcPr>
            <w:tcW w:w="110" w:type="dxa"/>
            <w:tcBorders/>
            <w:shd w:fill="CCEEFF" w:val="clear"/>
            <w:vAlign w:val="center"/>
          </w:tcPr>
          <w:p>
            <w:pPr>
              <w:pStyle w:val="TableContents"/>
              <w:bidi w:val="0"/>
              <w:spacing w:before="0" w:after="283"/>
              <w:jc w:val="left"/>
              <w:rPr>
                <w:b/>
              </w:rPr>
            </w:pPr>
            <w:r>
              <w:rPr>
                <w:b/>
              </w:rPr>
              <w:t>)</w:t>
            </w:r>
          </w:p>
        </w:tc>
      </w:tr>
      <w:tr>
        <w:trPr/>
        <w:tc>
          <w:tcPr>
            <w:tcW w:w="3645" w:type="dxa"/>
            <w:tcBorders/>
            <w:shd w:fill="FFFFFF" w:val="clear"/>
            <w:vAlign w:val="center"/>
          </w:tcPr>
          <w:p>
            <w:pPr>
              <w:pStyle w:val="TableContents"/>
              <w:bidi w:val="0"/>
              <w:spacing w:before="0" w:after="283"/>
              <w:jc w:val="left"/>
              <w:rPr/>
            </w:pPr>
            <w:r>
              <w:rPr/>
              <w:t>Repayment for advances from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(106,936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(980,000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(656,000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1,742,936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Other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(41,615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(63,905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(105,520</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b/>
              </w:rPr>
            </w:pPr>
            <w:r>
              <w:rPr>
                <w:b/>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(148,551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(1,043,905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(656,000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1,742,936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(105,520</w:t>
            </w:r>
          </w:p>
        </w:tc>
        <w:tc>
          <w:tcPr>
            <w:tcW w:w="110" w:type="dxa"/>
            <w:tcBorders/>
            <w:shd w:fill="FFFFFF" w:val="clear"/>
            <w:vAlign w:val="center"/>
          </w:tcPr>
          <w:p>
            <w:pPr>
              <w:pStyle w:val="TableContents"/>
              <w:bidi w:val="0"/>
              <w:spacing w:before="0" w:after="283"/>
              <w:jc w:val="left"/>
              <w:rPr>
                <w:b/>
              </w:rPr>
            </w:pPr>
            <w:r>
              <w:rPr>
                <w:b/>
              </w:rPr>
              <w:t>)</w:t>
            </w:r>
          </w:p>
        </w:tc>
      </w:tr>
      <w:tr>
        <w:trPr/>
        <w:tc>
          <w:tcPr>
            <w:tcW w:w="3645" w:type="dxa"/>
            <w:tcBorders/>
            <w:shd w:fill="CCEEFF" w:val="clear"/>
            <w:vAlign w:val="center"/>
          </w:tcPr>
          <w:p>
            <w:pPr>
              <w:pStyle w:val="TableContents"/>
              <w:bidi w:val="0"/>
              <w:spacing w:before="0" w:after="283"/>
              <w:jc w:val="left"/>
              <w:rPr/>
            </w:pPr>
            <w:r>
              <w:rPr/>
              <w:t>Effect of exchanges rates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(12,313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(12,704</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(161,665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(361,805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327,020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(196,450</w:t>
            </w:r>
          </w:p>
        </w:tc>
        <w:tc>
          <w:tcPr>
            <w:tcW w:w="110" w:type="dxa"/>
            <w:tcBorders/>
            <w:shd w:fill="FFFFFF" w:val="clear"/>
            <w:vAlign w:val="center"/>
          </w:tcPr>
          <w:p>
            <w:pPr>
              <w:pStyle w:val="TableContents"/>
              <w:bidi w:val="0"/>
              <w:spacing w:before="0" w:after="283"/>
              <w:jc w:val="left"/>
              <w:rPr/>
            </w:pPr>
            <w:r>
              <w:rPr/>
              <w:t>)</w:t>
            </w:r>
          </w:p>
        </w:tc>
      </w:tr>
      <w:tr>
        <w:trPr/>
        <w:tc>
          <w:tcPr>
            <w:tcW w:w="3645" w:type="dxa"/>
            <w:tcBorders/>
            <w:shd w:fill="CCEEFF" w:val="clear"/>
            <w:vAlign w:val="center"/>
          </w:tcPr>
          <w:p>
            <w:pPr>
              <w:pStyle w:val="TableContents"/>
              <w:bidi w:val="0"/>
              <w:spacing w:before="0" w:after="283"/>
              <w:jc w:val="left"/>
              <w:rPr/>
            </w:pPr>
            <w:r>
              <w:rPr/>
              <w:t>Cash and cash equivalents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164,583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995,718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7,179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1,167,480</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b/>
              </w:rPr>
            </w:pPr>
            <w:r>
              <w:rPr>
                <w:b/>
              </w:rPr>
              <w:t>Cash and cash equivalents and restricted cash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334,199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971,030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645"/>
        <w:gridCol w:w="60"/>
        <w:gridCol w:w="60"/>
        <w:gridCol w:w="875"/>
        <w:gridCol w:w="95"/>
        <w:gridCol w:w="60"/>
        <w:gridCol w:w="72"/>
        <w:gridCol w:w="1058"/>
        <w:gridCol w:w="95"/>
        <w:gridCol w:w="60"/>
        <w:gridCol w:w="67"/>
        <w:gridCol w:w="988"/>
        <w:gridCol w:w="95"/>
        <w:gridCol w:w="60"/>
        <w:gridCol w:w="69"/>
        <w:gridCol w:w="1226"/>
        <w:gridCol w:w="95"/>
        <w:gridCol w:w="60"/>
        <w:gridCol w:w="78"/>
        <w:gridCol w:w="1277"/>
        <w:gridCol w:w="110"/>
      </w:tblGrid>
      <w:tr>
        <w:trPr/>
        <w:tc>
          <w:tcPr>
            <w:tcW w:w="3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110"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goods and services to Group companies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588,081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102,924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(691,005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goods and services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(102,924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(588,081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691,005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Other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274,797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185,005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121,193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580,995</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Net cash provided by/(used in) continuing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274,797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670,162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(363,964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580,995</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Net cash provided by discontinued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135,033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135,033</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b/>
              </w:rPr>
            </w:pPr>
            <w:r>
              <w:rPr>
                <w:b/>
              </w:rPr>
              <w:t>Net cash (used in)/provided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670,162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(228,931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716,028</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Loans to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(56,973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56,973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Repayment of loans from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288,794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164,043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(452,837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Receipts from repayment of advances by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464,180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556,535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(1,020,715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Other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(290,757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(11,055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(301,812</w:t>
            </w:r>
          </w:p>
        </w:tc>
        <w:tc>
          <w:tcPr>
            <w:tcW w:w="110" w:type="dxa"/>
            <w:tcBorders/>
            <w:shd w:fill="FFFFFF" w:val="clear"/>
            <w:vAlign w:val="center"/>
          </w:tcPr>
          <w:p>
            <w:pPr>
              <w:pStyle w:val="TableContents"/>
              <w:bidi w:val="0"/>
              <w:spacing w:before="0" w:after="283"/>
              <w:jc w:val="left"/>
              <w:rPr/>
            </w:pPr>
            <w:r>
              <w:rPr/>
              <w:t>)</w:t>
            </w:r>
          </w:p>
        </w:tc>
      </w:tr>
      <w:tr>
        <w:trPr/>
        <w:tc>
          <w:tcPr>
            <w:tcW w:w="3645" w:type="dxa"/>
            <w:tcBorders/>
            <w:shd w:fill="CCEEFF" w:val="clear"/>
            <w:vAlign w:val="center"/>
          </w:tcPr>
          <w:p>
            <w:pPr>
              <w:pStyle w:val="TableContents"/>
              <w:bidi w:val="0"/>
              <w:spacing w:before="0" w:after="283"/>
              <w:jc w:val="left"/>
              <w:rPr/>
            </w:pPr>
            <w:r>
              <w:rPr/>
              <w:t>Net cash provided by/(used in) continuing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(58,936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617,167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556,535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(1,416,579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(301,812</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pPr>
            <w:r>
              <w:rPr/>
              <w:t>Net cash provided by discontinued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136,918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136,918</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b/>
              </w:rPr>
            </w:pPr>
            <w:r>
              <w:rPr>
                <w:b/>
              </w:rPr>
              <w:t>Net cash provided by/(used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(58,936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617,167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693,453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(1,416,579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(164,894</w:t>
            </w:r>
          </w:p>
        </w:tc>
        <w:tc>
          <w:tcPr>
            <w:tcW w:w="110" w:type="dxa"/>
            <w:tcBorders/>
            <w:shd w:fill="CCEEFF" w:val="clear"/>
            <w:vAlign w:val="center"/>
          </w:tcPr>
          <w:p>
            <w:pPr>
              <w:pStyle w:val="TableContents"/>
              <w:bidi w:val="0"/>
              <w:spacing w:before="0" w:after="283"/>
              <w:jc w:val="left"/>
              <w:rPr>
                <w:b/>
              </w:rPr>
            </w:pPr>
            <w:r>
              <w:rPr>
                <w:b/>
              </w:rPr>
              <w:t>)</w:t>
            </w:r>
          </w:p>
        </w:tc>
      </w:tr>
      <w:tr>
        <w:trPr/>
        <w:tc>
          <w:tcPr>
            <w:tcW w:w="3645" w:type="dxa"/>
            <w:tcBorders/>
            <w:shd w:fill="FFFFFF" w:val="clear"/>
            <w:vAlign w:val="center"/>
          </w:tcPr>
          <w:p>
            <w:pPr>
              <w:pStyle w:val="TableContents"/>
              <w:bidi w:val="0"/>
              <w:spacing w:before="0" w:after="283"/>
              <w:jc w:val="left"/>
              <w:rPr/>
            </w:pPr>
            <w:r>
              <w:rPr/>
              <w:t>Repayment for advances from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(556,536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(385,563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1,020,716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Repayment for loans from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(452,836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452,836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Borrowings under loans from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56,973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(56,973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Other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(4,173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(485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(4,658</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pPr>
            <w:r>
              <w:rPr/>
              <w:t>Net cash used in continuing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(82,790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(500,048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(838,399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1,416,579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(4,658</w:t>
            </w:r>
          </w:p>
        </w:tc>
        <w:tc>
          <w:tcPr>
            <w:tcW w:w="110" w:type="dxa"/>
            <w:tcBorders/>
            <w:shd w:fill="FFFFFF" w:val="clear"/>
            <w:vAlign w:val="center"/>
          </w:tcPr>
          <w:p>
            <w:pPr>
              <w:pStyle w:val="TableContents"/>
              <w:bidi w:val="0"/>
              <w:spacing w:before="0" w:after="283"/>
              <w:jc w:val="left"/>
              <w:rPr/>
            </w:pPr>
            <w:r>
              <w:rPr/>
              <w:t>)</w:t>
            </w:r>
          </w:p>
        </w:tc>
      </w:tr>
      <w:tr>
        <w:trPr/>
        <w:tc>
          <w:tcPr>
            <w:tcW w:w="3645" w:type="dxa"/>
            <w:tcBorders/>
            <w:shd w:fill="CCEEFF" w:val="clear"/>
            <w:vAlign w:val="center"/>
          </w:tcPr>
          <w:p>
            <w:pPr>
              <w:pStyle w:val="TableContents"/>
              <w:bidi w:val="0"/>
              <w:spacing w:before="0" w:after="283"/>
              <w:jc w:val="left"/>
              <w:rPr/>
            </w:pPr>
            <w:r>
              <w:rPr/>
              <w:t>Net cash used in discontinued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(30,000</w:t>
            </w:r>
          </w:p>
        </w:tc>
        <w:tc>
          <w:tcPr>
            <w:tcW w:w="110" w:type="dxa"/>
            <w:tcBorders/>
            <w:shd w:fill="CCEEFF" w:val="clear"/>
            <w:vAlign w:val="center"/>
          </w:tcPr>
          <w:p>
            <w:pPr>
              <w:pStyle w:val="TableContents"/>
              <w:bidi w:val="0"/>
              <w:spacing w:before="0" w:after="283"/>
              <w:jc w:val="left"/>
              <w:rPr/>
            </w:pPr>
            <w:r>
              <w:rPr/>
              <w:t>)</w:t>
            </w:r>
          </w:p>
        </w:tc>
      </w:tr>
      <w:tr>
        <w:trPr/>
        <w:tc>
          <w:tcPr>
            <w:tcW w:w="3645" w:type="dxa"/>
            <w:tcBorders/>
            <w:shd w:fill="FFFFFF" w:val="clear"/>
            <w:vAlign w:val="center"/>
          </w:tcPr>
          <w:p>
            <w:pPr>
              <w:pStyle w:val="TableContents"/>
              <w:bidi w:val="0"/>
              <w:spacing w:before="0" w:after="283"/>
              <w:jc w:val="left"/>
              <w:rPr>
                <w:b/>
              </w:rPr>
            </w:pPr>
            <w:r>
              <w:rPr>
                <w:b/>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(82,790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(500,048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(868,399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1,416,579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(34,658</w:t>
            </w:r>
          </w:p>
        </w:tc>
        <w:tc>
          <w:tcPr>
            <w:tcW w:w="110" w:type="dxa"/>
            <w:tcBorders/>
            <w:shd w:fill="FFFFFF" w:val="clear"/>
            <w:vAlign w:val="center"/>
          </w:tcPr>
          <w:p>
            <w:pPr>
              <w:pStyle w:val="TableContents"/>
              <w:bidi w:val="0"/>
              <w:spacing w:before="0" w:after="283"/>
              <w:jc w:val="left"/>
              <w:rPr>
                <w:b/>
              </w:rPr>
            </w:pPr>
            <w:r>
              <w:rPr>
                <w:b/>
              </w:rPr>
              <w:t>)</w:t>
            </w:r>
          </w:p>
        </w:tc>
      </w:tr>
      <w:tr>
        <w:trPr/>
        <w:tc>
          <w:tcPr>
            <w:tcW w:w="3645" w:type="dxa"/>
            <w:tcBorders/>
            <w:shd w:fill="CCEEFF" w:val="clear"/>
            <w:vAlign w:val="center"/>
          </w:tcPr>
          <w:p>
            <w:pPr>
              <w:pStyle w:val="TableContents"/>
              <w:bidi w:val="0"/>
              <w:spacing w:before="0" w:after="283"/>
              <w:jc w:val="left"/>
              <w:rPr/>
            </w:pPr>
            <w:r>
              <w:rPr/>
              <w:t>Effect of exchanges rates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(3,520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14,649</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783,762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(403,877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531,125</w:t>
            </w:r>
          </w:p>
        </w:tc>
        <w:tc>
          <w:tcPr>
            <w:tcW w:w="110"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Cash and cash equivalents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13,343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211,956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411,056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636,355</w:t>
            </w:r>
          </w:p>
        </w:tc>
        <w:tc>
          <w:tcPr>
            <w:tcW w:w="110"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b/>
              </w:rPr>
            </w:pPr>
            <w:r>
              <w:rPr>
                <w:b/>
              </w:rPr>
              <w:t>Cash and cash equivalents and restricted cash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164,583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995,718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1,167,480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735"/>
        <w:gridCol w:w="60"/>
        <w:gridCol w:w="62"/>
        <w:gridCol w:w="783"/>
        <w:gridCol w:w="95"/>
        <w:gridCol w:w="60"/>
        <w:gridCol w:w="72"/>
        <w:gridCol w:w="1058"/>
        <w:gridCol w:w="95"/>
        <w:gridCol w:w="60"/>
        <w:gridCol w:w="67"/>
        <w:gridCol w:w="988"/>
        <w:gridCol w:w="95"/>
        <w:gridCol w:w="60"/>
        <w:gridCol w:w="83"/>
        <w:gridCol w:w="1212"/>
        <w:gridCol w:w="95"/>
        <w:gridCol w:w="60"/>
        <w:gridCol w:w="86"/>
        <w:gridCol w:w="1269"/>
        <w:gridCol w:w="110"/>
      </w:tblGrid>
      <w:tr>
        <w:trPr/>
        <w:tc>
          <w:tcPr>
            <w:tcW w:w="3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0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2023</w:t>
            </w:r>
          </w:p>
        </w:tc>
        <w:tc>
          <w:tcPr>
            <w:tcW w:w="110" w:type="dxa"/>
            <w:tcBorders/>
            <w:vAlign w:val="center"/>
          </w:tcPr>
          <w:p>
            <w:pPr>
              <w:pStyle w:val="TableContents"/>
              <w:bidi w:val="0"/>
              <w:spacing w:before="0" w:after="283"/>
              <w:jc w:val="left"/>
              <w:rPr/>
            </w:pPr>
            <w:r>
              <w:rPr/>
              <w:t> </w:t>
            </w:r>
          </w:p>
        </w:tc>
      </w:tr>
      <w:tr>
        <w:trPr/>
        <w:tc>
          <w:tcPr>
            <w:tcW w:w="3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00" w:type="dxa"/>
            <w:gridSpan w:val="18"/>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goods and services to Group companies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692,027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(692,027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goods and services from Group companies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(94,673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94,673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Other operating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(93,378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(642,085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776,782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41,319</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Net cash provided by/(used in) continuing operating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(93,378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(44,731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776,782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(597,354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41,319</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Net cash used in discontinued operating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(741,901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597,354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(144,547</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b/>
              </w:rPr>
            </w:pPr>
            <w:r>
              <w:rPr>
                <w:b/>
              </w:rPr>
              <w:t>Net cash (used in)/provided by operating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(93,378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(44,731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34,881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(103,228</w:t>
            </w:r>
          </w:p>
        </w:tc>
        <w:tc>
          <w:tcPr>
            <w:tcW w:w="110" w:type="dxa"/>
            <w:tcBorders/>
            <w:shd w:fill="FFFFFF" w:val="clear"/>
            <w:vAlign w:val="center"/>
          </w:tcPr>
          <w:p>
            <w:pPr>
              <w:pStyle w:val="TableContents"/>
              <w:bidi w:val="0"/>
              <w:spacing w:before="0" w:after="283"/>
              <w:jc w:val="left"/>
              <w:rPr>
                <w:b/>
              </w:rPr>
            </w:pPr>
            <w:r>
              <w:rPr>
                <w:b/>
              </w:rPr>
              <w:t>)</w:t>
            </w:r>
          </w:p>
        </w:tc>
      </w:tr>
      <w:tr>
        <w:trPr/>
        <w:tc>
          <w:tcPr>
            <w:tcW w:w="3735" w:type="dxa"/>
            <w:tcBorders/>
            <w:shd w:fill="CCEEFF" w:val="clear"/>
            <w:vAlign w:val="center"/>
          </w:tcPr>
          <w:p>
            <w:pPr>
              <w:pStyle w:val="TableContents"/>
              <w:bidi w:val="0"/>
              <w:spacing w:before="0" w:after="283"/>
              <w:jc w:val="left"/>
              <w:rPr/>
            </w:pPr>
            <w:r>
              <w:rPr/>
              <w:t>Repayment of loans from Group companies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35,845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(35,845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Receipts from repayment of advances by Group companies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44,574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(44,574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Other investing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(14,600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(102,291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(174,058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(290,949</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pPr>
            <w:r>
              <w:rPr/>
              <w:t>Net cash provided by/(used in) continuing investing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21,245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(57,717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(174,058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(80,419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(290,949</w:t>
            </w:r>
          </w:p>
        </w:tc>
        <w:tc>
          <w:tcPr>
            <w:tcW w:w="110" w:type="dxa"/>
            <w:tcBorders/>
            <w:shd w:fill="FFFFFF" w:val="clear"/>
            <w:vAlign w:val="center"/>
          </w:tcPr>
          <w:p>
            <w:pPr>
              <w:pStyle w:val="TableContents"/>
              <w:bidi w:val="0"/>
              <w:spacing w:before="0" w:after="283"/>
              <w:jc w:val="left"/>
              <w:rPr/>
            </w:pPr>
            <w:r>
              <w:rPr/>
              <w:t>)</w:t>
            </w:r>
          </w:p>
        </w:tc>
      </w:tr>
      <w:tr>
        <w:trPr/>
        <w:tc>
          <w:tcPr>
            <w:tcW w:w="3735" w:type="dxa"/>
            <w:tcBorders/>
            <w:shd w:fill="CCEEFF" w:val="clear"/>
            <w:vAlign w:val="center"/>
          </w:tcPr>
          <w:p>
            <w:pPr>
              <w:pStyle w:val="TableContents"/>
              <w:bidi w:val="0"/>
              <w:spacing w:before="0" w:after="283"/>
              <w:jc w:val="left"/>
              <w:rPr/>
            </w:pPr>
            <w:r>
              <w:rPr/>
              <w:t>Net cash provided by discontinued investing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108,889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(16,866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92,023</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b/>
              </w:rPr>
            </w:pPr>
            <w:r>
              <w:rPr>
                <w:b/>
              </w:rPr>
              <w:t>Net cash provided by/(used in) investing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(57,717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(65,169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(97,285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(198,926</w:t>
            </w:r>
          </w:p>
        </w:tc>
        <w:tc>
          <w:tcPr>
            <w:tcW w:w="110" w:type="dxa"/>
            <w:tcBorders/>
            <w:shd w:fill="FFFFFF" w:val="clear"/>
            <w:vAlign w:val="center"/>
          </w:tcPr>
          <w:p>
            <w:pPr>
              <w:pStyle w:val="TableContents"/>
              <w:bidi w:val="0"/>
              <w:spacing w:before="0" w:after="283"/>
              <w:jc w:val="left"/>
              <w:rPr>
                <w:b/>
              </w:rPr>
            </w:pPr>
            <w:r>
              <w:rPr>
                <w:b/>
              </w:rPr>
              <w:t>)</w:t>
            </w:r>
          </w:p>
        </w:tc>
      </w:tr>
      <w:tr>
        <w:trPr/>
        <w:tc>
          <w:tcPr>
            <w:tcW w:w="3735" w:type="dxa"/>
            <w:tcBorders/>
            <w:shd w:fill="CCEEFF" w:val="clear"/>
            <w:vAlign w:val="center"/>
          </w:tcPr>
          <w:p>
            <w:pPr>
              <w:pStyle w:val="TableContents"/>
              <w:bidi w:val="0"/>
              <w:spacing w:before="0" w:after="283"/>
              <w:jc w:val="left"/>
              <w:rPr/>
            </w:pPr>
            <w:r>
              <w:rPr/>
              <w:t>Repayment for advances from Group companies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(44,574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44,574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Repayment for loans from Group companies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(35,845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35,845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Borrowings under loans from Group companies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(16,866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16,866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Other financing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(6,421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22,078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15,657</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Net cash provided by/(used in) continuing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(30,633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(44,574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97,285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15,657</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Net cash provided by discontinued financing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cash (used in)/provided by financing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(6,421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(30,633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55,426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97,285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115,657</w:t>
            </w:r>
          </w:p>
        </w:tc>
        <w:tc>
          <w:tcPr>
            <w:tcW w:w="110"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Effect of exchanges rates on cash and cash equivalents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7,639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9,643</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(77,432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(125,442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26,020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(176,854</w:t>
            </w:r>
          </w:p>
        </w:tc>
        <w:tc>
          <w:tcPr>
            <w:tcW w:w="110" w:type="dxa"/>
            <w:tcBorders/>
            <w:shd w:fill="CCEEFF" w:val="clear"/>
            <w:vAlign w:val="center"/>
          </w:tcPr>
          <w:p>
            <w:pPr>
              <w:pStyle w:val="TableContents"/>
              <w:bidi w:val="0"/>
              <w:spacing w:before="0" w:after="283"/>
              <w:jc w:val="left"/>
              <w:rPr/>
            </w:pPr>
            <w:r>
              <w:rPr/>
              <w:t>)</w:t>
            </w:r>
          </w:p>
        </w:tc>
      </w:tr>
      <w:tr>
        <w:trPr/>
        <w:tc>
          <w:tcPr>
            <w:tcW w:w="3735" w:type="dxa"/>
            <w:tcBorders/>
            <w:shd w:fill="FFFFFF" w:val="clear"/>
            <w:vAlign w:val="center"/>
          </w:tcPr>
          <w:p>
            <w:pPr>
              <w:pStyle w:val="TableContents"/>
              <w:bidi w:val="0"/>
              <w:spacing w:before="0" w:after="283"/>
              <w:jc w:val="left"/>
              <w:rPr/>
            </w:pPr>
            <w:r>
              <w:rPr/>
              <w:t>Cash and cash equivalents and restricted cash at beginning of year</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90,775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337,398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385,036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813,209</w:t>
            </w:r>
          </w:p>
        </w:tc>
        <w:tc>
          <w:tcPr>
            <w:tcW w:w="110" w:type="dxa"/>
            <w:tcBorders/>
            <w:shd w:fill="FFFFFF" w:val="clear"/>
            <w:vAlign w:val="center"/>
          </w:tcPr>
          <w:p>
            <w:pPr>
              <w:pStyle w:val="TableContents"/>
              <w:bidi w:val="0"/>
              <w:spacing w:before="0" w:after="283"/>
              <w:jc w:val="left"/>
              <w:rPr/>
            </w:pPr>
            <w:r>
              <w:rPr/>
              <w:t> </w:t>
            </w:r>
          </w:p>
        </w:tc>
      </w:tr>
      <w:tr>
        <w:trPr/>
        <w:tc>
          <w:tcPr>
            <w:tcW w:w="3735" w:type="dxa"/>
            <w:tcBorders/>
            <w:shd w:fill="CCEEFF" w:val="clear"/>
            <w:vAlign w:val="center"/>
          </w:tcPr>
          <w:p>
            <w:pPr>
              <w:pStyle w:val="TableContents"/>
              <w:bidi w:val="0"/>
              <w:spacing w:before="0" w:after="283"/>
              <w:jc w:val="left"/>
              <w:rPr>
                <w:b/>
              </w:rPr>
            </w:pPr>
            <w:r>
              <w:rPr>
                <w:b/>
              </w:rPr>
              <w:t>Cash and cash equivalents and restricted cash at end of year</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211,956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411,056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636,355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Notes:</w:t>
      </w:r>
    </w:p>
    <w:tbl>
      <w:tblPr>
        <w:tblW w:w="4420" w:type="dxa"/>
        <w:jc w:val="left"/>
        <w:tblInd w:w="0" w:type="dxa"/>
        <w:tblLayout w:type="fixed"/>
        <w:tblCellMar>
          <w:top w:w="0" w:type="dxa"/>
          <w:left w:w="0" w:type="dxa"/>
          <w:bottom w:w="0" w:type="dxa"/>
          <w:right w:w="0" w:type="dxa"/>
        </w:tblCellMar>
      </w:tblPr>
      <w:tblGrid>
        <w:gridCol w:w="260"/>
        <w:gridCol w:w="416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within our group in operating activities</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196"/>
        <w:gridCol w:w="60"/>
        <w:gridCol w:w="103"/>
        <w:gridCol w:w="423"/>
        <w:gridCol w:w="81"/>
        <w:gridCol w:w="81"/>
        <w:gridCol w:w="81"/>
        <w:gridCol w:w="1093"/>
        <w:gridCol w:w="81"/>
        <w:gridCol w:w="81"/>
        <w:gridCol w:w="81"/>
        <w:gridCol w:w="765"/>
        <w:gridCol w:w="79"/>
      </w:tblGrid>
      <w:tr>
        <w:trPr/>
        <w:tc>
          <w:tcPr>
            <w:tcW w:w="71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9" w:type="dxa"/>
            <w:tcBorders/>
            <w:vAlign w:val="center"/>
          </w:tcPr>
          <w:p>
            <w:pPr>
              <w:pStyle w:val="TableContents"/>
              <w:bidi w:val="0"/>
              <w:spacing w:before="0" w:after="283"/>
              <w:jc w:val="left"/>
              <w:rPr/>
            </w:pPr>
            <w:r>
              <w:rPr/>
              <w:t> </w:t>
            </w:r>
          </w:p>
        </w:tc>
      </w:tr>
      <w:tr>
        <w:trPr/>
        <w:tc>
          <w:tcPr>
            <w:tcW w:w="71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71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0" w:type="dxa"/>
            <w:gridSpan w:val="10"/>
            <w:tcBorders/>
            <w:vAlign w:val="center"/>
          </w:tcPr>
          <w:p>
            <w:pPr>
              <w:pStyle w:val="TableContents"/>
              <w:bidi w:val="0"/>
              <w:spacing w:before="0" w:after="283"/>
              <w:jc w:val="center"/>
              <w:rPr>
                <w:b/>
              </w:rPr>
            </w:pPr>
            <w:r>
              <w:rPr>
                <w:b/>
              </w:rPr>
              <w:t>(RMB in thousands)</w:t>
            </w:r>
          </w:p>
        </w:tc>
        <w:tc>
          <w:tcPr>
            <w:tcW w:w="79" w:type="dxa"/>
            <w:tcBorders/>
            <w:vAlign w:val="center"/>
          </w:tcPr>
          <w:p>
            <w:pPr>
              <w:pStyle w:val="TableContents"/>
              <w:bidi w:val="0"/>
              <w:spacing w:before="0" w:after="283"/>
              <w:jc w:val="left"/>
              <w:rPr/>
            </w:pPr>
            <w:r>
              <w:rPr/>
              <w:t> </w:t>
            </w:r>
          </w:p>
        </w:tc>
      </w:tr>
      <w:tr>
        <w:trPr/>
        <w:tc>
          <w:tcPr>
            <w:tcW w:w="7196" w:type="dxa"/>
            <w:tcBorders/>
            <w:shd w:fill="CCEEFF" w:val="clear"/>
            <w:vAlign w:val="center"/>
          </w:tcPr>
          <w:p>
            <w:pPr>
              <w:pStyle w:val="TableContents"/>
              <w:bidi w:val="0"/>
              <w:spacing w:before="0" w:after="283"/>
              <w:jc w:val="left"/>
              <w:rPr/>
            </w:pPr>
            <w:r>
              <w:rPr/>
              <w:t>Cash paid by VIEs to equity subsidiaries and primary beneficiaries of VIEs and their subsidiaries for purchasing of goods and service</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588,081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11</w:t>
            </w:r>
          </w:p>
        </w:tc>
        <w:tc>
          <w:tcPr>
            <w:tcW w:w="79" w:type="dxa"/>
            <w:tcBorders/>
            <w:shd w:fill="CCEEFF" w:val="clear"/>
            <w:vAlign w:val="center"/>
          </w:tcPr>
          <w:p>
            <w:pPr>
              <w:pStyle w:val="TableContents"/>
              <w:bidi w:val="0"/>
              <w:spacing w:before="0" w:after="283"/>
              <w:jc w:val="left"/>
              <w:rPr/>
            </w:pPr>
            <w:r>
              <w:rPr/>
              <w:t> </w:t>
            </w:r>
          </w:p>
        </w:tc>
      </w:tr>
      <w:tr>
        <w:trPr/>
        <w:tc>
          <w:tcPr>
            <w:tcW w:w="7196" w:type="dxa"/>
            <w:tcBorders/>
            <w:shd w:fill="FFFFFF" w:val="clear"/>
            <w:vAlign w:val="center"/>
          </w:tcPr>
          <w:p>
            <w:pPr>
              <w:pStyle w:val="TableContents"/>
              <w:bidi w:val="0"/>
              <w:spacing w:before="0" w:after="283"/>
              <w:jc w:val="left"/>
              <w:rPr/>
            </w:pPr>
            <w:r>
              <w:rPr/>
              <w:t>Cash received by VIEs from equity subsidiaries and primary beneficiaries of VIEs and their subsidiaries for rendering of goods and service</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102,924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pPr>
            <w:r>
              <w:rPr/>
              <w:t>1,528</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Summary of Risk Factors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Investing in our securities involves significant risks. You should carefully consider all of the information in this prospectus before making an investment in our securities. Below please find a summary of the principal risks we and the VIEs face, organized under relevant headings. These risks are discussed more fully in “Item 3. Key Information — D. Risk Factors” in our 2025 Form 20-F, which is incorporated herein by reference.</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Risks Relating to Our Business and Industry</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Xiaomi is our strategic partner and our most important customer. A significant portion of our revenue derive from sales to Xiaomi. Changes in our relationship with Xiaomi could have a material adverse effect on our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highly competitive markets, and the scale and resources of some of our competitors may allow them to compete more effectively than we can, which could result in a loss of our market share and a decrease in our net revenues and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effectively manage our growth and the increased complexity of our business, which could negatively impact our brand and financial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promote our brand and protect our reputation. Our failure to establish and promote our brand and any damage to our reputation will hinder our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acquisition and investment activities, which could require significant management attention, disrupt our business, dilute shareholder value, and adversely affect our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successfully develop and commercialize new products, services and technologies that are well received by consumers in a timely manner, our operating results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new product categories and scenarios and substantial increases in product lines may expose us to new challenges and more risks;</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the emerging and evolving home water solutions market in China, which may develop more slowly or differently than we expect. If the home water solutions market does not grow as we expect, or if we cannot expand our products and services to meet consumer demands, our results of operations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user engagement ceases to grow or declines, our business and operating results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complex and evolving Chinese and international laws and regulations, including those regarding data privacy and cybersecurity, many of which are subject to change and uncertain interpretation. Any changes in these laws could cause changes to our business practices and increased cost of operations, and any security breaches and our actual or perceived failure to comply with such laws could result in claims, penalties, damages to our reputation and brand, declines in user growth or engagement or otherwise harm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susceptible to supply shortages and interruptions, long lead times, and price fluctuations for raw materials and components, any of which could disrupt our supply chain and have a material adverse impact on our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certain contract manufacturers to produce some of our products. If we encounter issues with them, our business and results of operations could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adversely impacted by product defects or other quality issues;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third-party e-commerce platforms to sell our products online. If our cooperation with such platforms terminates, deteriorates or becomes more costly, our business and results of operations may be materially and adversely affected;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associated with our network partners and their personnel for our network of Viomi offline stores.</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Risks Related to Our Corporate Structure</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equity ownership in the VIEs and we conduct operations in China through (i) our PRC subsidiaries and (ii) the VIEs, with which we have maintained contractual arrangements. Investors in our ADSs thus are not purchasing equity interest in the VIEs in China but instead are purchasing equity interest in a Cayman Islands holding company. If the PRC government finds that the agreements that establish the structure for operating our business do not comply with PRC laws and regulations, or if these regulations or their interpretations change in the future, we and the VIEs could be subject to severe penalties or be forced to relinquish our and the VIEs’ interests in those operations. Our holding company, our PRC subsidiaries,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The PRC regulatory authorities could disallow the VIE structure, which would likely result in a material adverse change in our and the VIEs’ operations, and our Class A ordinary shares or our ADSs may decline significantly in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contractual arrangements with the VIEs and their respective shareholders for substantially all of our business operation, which may not be as effective as direct ownership in providing operational control;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the VIEs or their shareholders to perform their obligations under our contractual arrangements with them would have an adverse effect on our business, financial condition and results of operations.</w:t>
            </w:r>
          </w:p>
        </w:tc>
      </w:tr>
    </w:tbl>
    <w:p>
      <w:pPr>
        <w:pStyle w:val="TextBody"/>
        <w:bidi w:val="0"/>
        <w:spacing w:before="0" w:after="0"/>
        <w:ind w:left="1440" w:right="0" w:hanging="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Risks Related to Doing Business in China</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 performed for our consolidated financial statements and the inability of the PCAOB to conduct inspections over our auditor in the past has deprived our investors with the benefits of such inspections;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government’s significant oversight and discretion over our business operation could result in a material adverse change in our operations and the value of our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China’s economic, political or social conditions or government policies could have a material adverse effect on our business and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with respect to the PRC legal system and changes in laws and regulations in China could materially and adversely affect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and filing with the CSRC or other PRC government authorities may be required if we were to conduct offshore offerings in the future, and, if required, we cannot predict whether or for how long we will be able to obtain such approval or complete such filing.</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Risks Relating to Our Securities and This Offering</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ADSs is likely to be volatile, which could result in substantial losses to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share structure with different voting rights will limit your ability to influence corporate matters (and in certain situations, give certain holders of Class B ordinary shares control over the outcome of matters put to a vote of shareholders) and could discourage others from pursuing any change of control transactions that holders of our Class A ordinary shares and ADSs may view as beneficial;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for our securities may not develop or be sustained, which would adversely affect the liquidity and price of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securities will result in additional dilution of the percentage ownership of our shareholders and could cause our share price to fall.</w:t>
            </w:r>
          </w:p>
        </w:tc>
      </w:tr>
    </w:tbl>
    <w:p>
      <w:pPr>
        <w:pStyle w:val="TextBody"/>
        <w:bidi w:val="0"/>
        <w:spacing w:before="0" w:after="0"/>
        <w:ind w:left="1440" w:right="0" w:hanging="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Corporate Information</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 xml:space="preserve">Our principal executive offices are located at No. 7 Licun Industrial Avenue, Lunjiao Subdistrict, Shunde District Foshan, Guangdong, 528308, People’s Republic of China, and our phone number is +86 20 8930 9496. Our registered office in the Cayman Islands is located at the offices of Maples Corporate Services Limited at PO Box 309, Ugland House, Grand Cayman, KY1-1104, Cayman Islands. Our corporate website address is </w:t>
      </w:r>
      <w:r>
        <w:rPr>
          <w:rFonts w:ascii="Times New Roman;Times;Serif" w:hAnsi="Times New Roman;Times;Serif"/>
          <w:b w:val="false"/>
          <w:i/>
          <w:caps w:val="false"/>
          <w:smallCaps w:val="false"/>
          <w:sz w:val="20"/>
          <w:bdr w:val="single" w:sz="8" w:space="7" w:color="000000"/>
        </w:rPr>
        <w:t>https://viomi.com/</w:t>
      </w:r>
      <w:r>
        <w:rPr>
          <w:rFonts w:ascii="Times New Roman;Times;Serif" w:hAnsi="Times New Roman;Times;Serif"/>
          <w:b w:val="false"/>
          <w:i w:val="false"/>
          <w:caps w:val="false"/>
          <w:smallCaps w:val="false"/>
          <w:sz w:val="20"/>
          <w:bdr w:val="single" w:sz="8" w:space="7" w:color="000000"/>
        </w:rPr>
        <w:t xml:space="preserve">. The information contained in, or accessible through, our website does not constitute a part of this prospectus. The SEC maintains an internet site that contains reports, proxy and information statements, and other information regarding issuers, such as we, that file electronically, with the SEC at </w:t>
      </w:r>
      <w:r>
        <w:rPr>
          <w:rFonts w:ascii="Times New Roman;Times;Serif" w:hAnsi="Times New Roman;Times;Serif"/>
          <w:b w:val="false"/>
          <w:i/>
          <w:caps w:val="false"/>
          <w:smallCaps w:val="false"/>
          <w:sz w:val="20"/>
          <w:bdr w:val="single" w:sz="8" w:space="7" w:color="000000"/>
        </w:rPr>
        <w:t>www.sec.gov</w:t>
      </w:r>
      <w:r>
        <w:rPr>
          <w:rFonts w:ascii="Times New Roman;Times;Serif" w:hAnsi="Times New Roman;Times;Serif"/>
          <w:b w:val="false"/>
          <w:i w:val="false"/>
          <w:caps w:val="false"/>
          <w:smallCaps w:val="false"/>
          <w:sz w:val="20"/>
          <w:bdr w:val="single" w:sz="8" w:space="7" w:color="000000"/>
        </w:rPr>
        <w:t>. Our agent for service of process in the United States is Puglisi &amp; Associates, located at 850 Library Avenue, Suite 204, Newark, Delaware 19711.</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JG_004"/>
      <w:bookmarkEnd w:id="5"/>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 Before you decide to buy our securities, you should carefully consider the risks described below and in our most recent annual report on Form 20-F, which is incorporated herein by reference, as well as the risks that are described in the applicable prospectus supplement and in other documents incorporated by reference into this prospectus. If any of these risks actually occurs, our business, financial condition and results of operations could suffer, and you may lose all or part of your investment. Additionally, the risks and uncertainties incorporated by reference or included in this prospectus or any accompanying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“Where You Can Find More Information” and “Incorporation of Certain Documents by Reference” for information on where you can find the documents we have filed with or furnished to the SEC and which are incorporated into this prospectus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Corporate Structure</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the PRC government finds that the agreements that establish the structure for operating some of our business operations in China do not comply with PRC regulations relating to the relevant industries or securities offering, or if these regulations or the interpretation of existing regulations change in the future, we could be subject to severe penalties, or be forced to relinquish our interest in those operations, or be materially and adversely affected on our ability to raise or utilize funds from future oversea offerings.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PRC restrictions or prohibitions on foreign ownership of internet and other related business in China, we operate these businesses in China through the VIEs and their subsidiaries, in which we have no ownership interest. According to the Special Administrative Measures (Negative List) for Foreign Investment Access, our provision of internet information services falls within the restricted category and the equity ratio of foreign investment in the enterprises operating the business under the restricted category is subject to the cap of 50%. In addition, although our provision of e-commerce services falls within the permitted category, foreign investments in this business are still restricted by other requirements under related regulations in China. Our WFOEs have each entered into a series of contractual arrangements with one of the VIEs, and their respective shareholders, which enable us to (i) exercise effective control over the VIEs, (ii) receive substantially all of the economic benefits of the VIEs, and (iii) have an exclusive option to purchase all or part of the equity interests and assets in the VIEs when and to the extent permitted by PRC laws. As a result of these contractual arrangements, we have control over and are the primary beneficiary of the VIEs and hence consolidate their financial results into our consolidated financial statements under U.S. GAAP. The VIEs currently include Beijing Yunmi Technology Co., Ltd., or Beijing Viomi, and Guangdong Interconnect Electric Appliances Technology Co., Ltd., or Guangdong Interconnect, and, prior to the completion of the 2024 reorganization transaction, the VIEs include Beijing Viomi and Foshan Yunmi Electric Appliances Technology Co., Ltd., or Foshan Viomi. Prior to the completion of the 2024 reorganization transaction, we operate our internet information and e-commerce services business primarily through our former VIE, Foshan Viomi. In the 2024 reorganization transaction, Foshan Viomi agreed to transfer the websites, mobile apps, mini programs operated by it and all the related materials and rights (including but not limited to domain names, databases, codes, software, operational data, materials, documents, information) to Guangdong Interconnect. We have completed the transfer process with Foshan Viomi transfer in November 2025, and after the completion of the transfer, Guangdong Interconnect will replace Foshan Viomi in operating internet information and e-commerce services business. Investors in our ADSs are not purchasing equity interest in the VIEs in China but instead are purchasing equity interest in a holding company incorporated in the Cayman Islands. See “Item 4. Information on the Company—C. Organizational Structure” for further details.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in our ADSs thus are not purchasing equity interest in the VIEs in China but instead are purchasing equity interest in a Cayman Islands holding company. Our holding company in the Cayman Islands, the VIEs and their subsidiaries, and investments in our company face uncertainty about potential future actions by the PRC government that could affect the enforceability of the contractual arrangements with the VIEs and, consequently, the business, financial condition, and results of operations of the VIEs and their subsidiaries and our company as a group. In addition, our ADSs may decline in value or become worthless if we are unable to assert our contractual control rights over the assets of the VIEs, which contributed 88.9%, 45.0% and 0.1% of our revenues in 2023, 2024 and 2025, respectively.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opinion of our PRC legal counsel, Han Kun Law Offices, (i) the ownership structure of the VIEs in China and our WFOEs, are not in violation of applicable PRC laws and regulations currently in effect; and (ii) subject to the disclosure in this annual report, the contractual arrangements between our WFOEs, the VIEs and their shareholders governed by PRC laws are valid, binding and enforceable, and will not result in any violation of applicable PRC laws. 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the VIEs are found to be in violation of any existing or future PRC laws or regulations, or fail to obtain or maintain any of the required permits or approvals, the PRC regulatory authorities would have broad discretion to take action in dealing with such violations or failures, including: </w:t>
      </w:r>
    </w:p>
    <w:p>
      <w:pPr>
        <w:pStyle w:val="TextBody"/>
        <w:bidi w:val="0"/>
        <w:spacing w:before="0" w:after="0"/>
        <w:ind w:left="0" w:right="0" w:firstLine="72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6"/>
        <w:gridCol w:w="201"/>
        <w:gridCol w:w="9898"/>
      </w:tblGrid>
      <w:tr>
        <w:trPr/>
        <w:tc>
          <w:tcPr>
            <w:tcW w:w="10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levying fines or confiscating our income or the income of our WFOEs or the VIEs, placing restrictions on our right to collect revenues, or imposing other requirements with which we or the VIEs may not be able to comply;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4"/>
        <w:gridCol w:w="209"/>
        <w:gridCol w:w="9882"/>
      </w:tblGrid>
      <w:tr>
        <w:trPr/>
        <w:tc>
          <w:tcPr>
            <w:tcW w:w="11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20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8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revoking or suspending the business licenses or operating licenses of our WFOEs or the VIEs, or to re-apply for the necessary licenses, or to relocate our business, staff and assets;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6"/>
        <w:gridCol w:w="221"/>
        <w:gridCol w:w="9858"/>
      </w:tblGrid>
      <w:tr>
        <w:trPr/>
        <w:tc>
          <w:tcPr>
            <w:tcW w:w="12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22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discontinuing or placing restrictions or onerous conditions on our operations through any transactions between our WFOEs and the VIEs; </w:t>
            </w:r>
          </w:p>
        </w:tc>
      </w:tr>
    </w:tbl>
    <w:p>
      <w:pPr>
        <w:pStyle w:val="TextBody"/>
        <w:bidi w:val="0"/>
        <w:spacing w:before="0" w:after="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5"/>
        <w:gridCol w:w="190"/>
        <w:gridCol w:w="9920"/>
      </w:tblGrid>
      <w:tr>
        <w:trPr/>
        <w:tc>
          <w:tcPr>
            <w:tcW w:w="9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19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requiring us to restructure our ownership structure or operations, including the nullification or termination of the contractual arrangements with the VIEs and deregistering the equity pledges of the VIEs, which in turn would affect our ability to consolidate, derive economic interests from, or exert effective control over the VIEs; </w:t>
            </w:r>
          </w:p>
        </w:tc>
      </w:tr>
    </w:tbl>
    <w:p>
      <w:pPr>
        <w:pStyle w:val="TextBody"/>
        <w:bidi w:val="0"/>
        <w:spacing w:before="0" w:after="0"/>
        <w:ind w:left="0" w:right="0" w:hanging="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7"/>
        <w:gridCol w:w="202"/>
        <w:gridCol w:w="9896"/>
      </w:tblGrid>
      <w:tr>
        <w:trPr/>
        <w:tc>
          <w:tcPr>
            <w:tcW w:w="10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202"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restricting or prohibiting our use of the proceeds of our initial public offering to finance our business and operations in China; and taking other regulatory or enforcement actions that could be harmful to our business.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imposition of any of these penalties would result in a material and adverse effect on our ability to conduct our business. In addition, any of the assets under the name of the shareholders of the VIEs, including their shares in the VIEs, may be put under court custody in connection with litigation, arbitration or other judicial or dispute resolution proceedings against such shareholder. We cannot ensure that such shares will be disposed of in accordance with the contractual arrangements between our WFOEs, the VIEs and its shareholders. Furthermore, it is unclear what impact the PRC government actions would have on us and on our ability to consolidate the financial results of the VIEs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the VIEs or our right to receive substantially all the economic benefits and residual returns from the VIEs and we are not able to restructure our ownership structure and operations in a satisfactory manner, we would no longer be able to consolidate the financial results of the VIEs in our consolidated financial statements. Either of these occurrences, or any other significant penalties that might be imposed on us in this event, would have a material adverse effect on our financial condition and results of operations and could cause the value of our ADSs to decline or become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on February 17, 2023, the CSRC released the Trial Administrative Measures of Overseas Securities Offering and Listing by Domestic Companies and five supporting guidelines (collectively, the “Trial Measures for Overseas Listing”), which became effective on March 31, 2023. See “Item 4. Information on the Company—B. Business Overview—Regulations—Regulations on M&amp;A rules and overseas listings” in our 2025 Form 20-F for details. If we fail to complete the filing with the CSRC in a timely manner or at all, for any future offerings, listing or any other capital raising activities, which are subject to the filings under the Trial Measures for Overseas Listing, due to the contractual arrangements between our WFOEs, the VIEs and its shareholders, our ability to raise or utilize funds could be materially and adversely affected, and we may even need to unwind our contractual arrangements with the VIEs and its shareholders or restructure our business operations to rectify the failure to complete the filings. However, given that the Trial Measures for Overseas Listing are relatively new, their interpretation, application, and enforcement and how they will affect our operations and our future financing are still uncertain.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rely on contractual arrangements with the VIEs and their respective shareholders, which may not be as effective as direct ownership in providing operational control.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relied and expect to continue to rely on contractual arrangements with the VIEs and their shareholders to conduct part of our business in China. These contractual arrangements may not be as effective as direct ownership in providing us with control over the VIEs. For example, the VIEs and their shareholders could breach their contractual arrangements with us by, among other things, failing to conduct their operations in an acceptable manner or taking other actions that are detrimental to our interests.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had direct ownership of the VIEs,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shareholders of their obligations under the contracts to exercise control over the VIEs. However, the shareholders of our consolidated VIEs may not act in the best interests of our company or may not perform their obligations under these contracts. Such risks exist throughout the period in which we intend to operate certain portions of our business through the contractual arrangements with the VIEs. If any disputes relating to these contracts remains unresolved, we will have to enforce our rights under these contracts through the operations of PRC laws and arbitration, litigation and other legal proceedings and therefore will be subject to uncertainties as to the outcome of any such legal proceedings. See “Risk Factors—Risks Related to Our Corporate Structure—Any failure by the VIEs or their shareholders to perform their obligations under our contractual arrangements with them would have a material and adverse effect on our business, financial condition and results of operations.” Therefore, our contractual arrangements with the VIEs and their shareholders may not be as effective in ensuring our control over the relevant portion of our business operations as direct ownership would be.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Any failure by the VIEs or their shareholders to perform their obligations under our contractual arrangements with them would have an adverse effect on our business, financial condition and results of operations.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refer to the shareholders of the VIEs as their nominee shareholders because although they remain the holders of equity interests on record in the VIEs, pursuant to the terms of the relevant shareholder voting proxy agreements, each such shareholder has irrevocably authorized any person designated by our WFOE to exercise the rights as a shareholder of the VIEs. However, if the VIEs or their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contractual remedies, which we cannot assure you will be sufficient or effective under PRC laws. For example, if the shareholders of the VIEs were to refuse to transfer their equity interest in the VIEs to us or our designee if we exercise the purchase option pursuant to these contractual arrangements, or if they were otherwise to act in bad faith toward us, then we may have to take legal actions to compel them to perform their contractual obligations.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agreements under our contractual arrangements are governed by PRC laws and stipulate the resolution of disputes through arbitration in China. The arbitration provisions relate to the claims arising out of the contractual relationship established by the VIE agreements, rather than claims under the United States federal securities laws, and do not prevent shareholders of our company from pursuing claims under the United States federal securities laws. Accordingly, these contracts would be interpreted in accordance with PRC laws and any disputes arising from these contracts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See “Risk Factors—Risks Related to Doing Business in China—Uncertainties with respect to the PRC legal system and changes in laws and regulations in China could materially and adversely affect us.”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Meanwhile,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In addition, under PRC laws, rulings by arbitrators are final, which means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delays or other obstacles in the process of enforcing these contractual arrangements, we may not be able to exert effective control over the VIEs, and our ability to conduct our business may be negatively affected.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Contractual arrangements in relation to the VIEs may be subject to scrutiny by the PRC tax authorities and they may determine that we or the VIEs owe additional taxes, which could negatively affect our financial condition and the value of your investment.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applicable PRC laws and regulations, arrangements and transactions among related parties may be subject to audit or challenge by the PRC tax authorities. We could face material and adverse tax consequences if the PRC tax authorities determine that the VIE contractual arrangements were not entered into on an arm’s length basis in such a way as to result in an impermissible reduction in taxes under applicable PRC laws, rules and regulations, and adjust the income of the VIEs in the form of a transfer pricing adjustment. A transfer pricing adjustment could, among other things, result in a reduction of expense deductions recorded by the VIEs for PRC tax purposes, which could in turn increase its tax liabilities without reducing our WFOE’s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it is required to pay late payment fees and other penalties.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shareholders of the VIEs may have potential conflicts of interest with us, which may materially and adversely affect our business and financial condition.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of the VIEs may have potential conflicts of interest with us. For instance, Mr. Xiaoping Chen, our founder, chairman of our board of directors, and chief executive officer, together with Zhuhai Yungui Enterprise Management Consulting Partnership (Limited Partnership), or Zhuhai Yungui, a limited partnership controlled and managed by Mr. Chen, holds the equity interests in Beijing Viomi, one of the VIEs. Currently, Foshan Viomi, 99.78% equity interests of which is held by Mr. Chen and the remaining 0.22% equity interests of which is held by Zhuhai Yungui, holds 100% of equity interests in the other VIE, Guangdong Interconnect. Conflicts of interest may arise between their roles in our company and their positions as nominal shareholders of the VIEs. These shareholders of the VIEs may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the shareholder will act in the best interests of our company or such conflicts will be resolved in our favor.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we do not have any arrangements to address potential conflicts of interest between these shareholders and our company, except that we could exercise our purchase option under the exclusive option agreements with these shareholders to request them to transfer all or part of their equity interests in the VIEs to a PRC entity or individual designated by us, to the extent permitted by PRC laws. Two nominee shareholders of the VIEs, namely Mr. Xiaoping Chen and Zhuhai Yungui, hold the equity interests in the VIEs. We rely on them to abide by the laws of the Cayman Islands, which provide that directors owe fiduciary duties to the company that require them to act in good faith and in what they believe to be the best interests of the company and not to use their positions for personal gain. If we cannot resolve any conflict of interest or dispute between us and the shareholders of the VIEs, we would have to rely on legal proceedings, which could result in disruption of our business and subject us to substantial uncertainty as to the outcome of any such legal proceedings.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shareholders of the VIEs may be involved in personal disputes with third parties or other incidents that may have an adverse effect on their respective equity interests in the VIEs and the validity or enforceability of our contractual arrangements with the VIEs and their shareholders. For example, in the event that any of the shareholders of the VIEs divorces his or her spouse, the spouse may claim that the equity interests of the VIEs held by such shareholder are part of their community property and should be divided between such shareholder and his or her spouse. If such claim is supported by the court, the relevant equity interests may be obtained by the shareholder’s spouse or any third party who is not subject to obligations under our contractual arrangements, which could result in a loss of our effective control over the VIEs. Similarly, if any of the equity interests of the VIEs is inherited by a third party on whom the current contractual arrangements are not binding, we could lose our control over the VIEs or have to maintain such control by incurring unpredictable costs, which could cause significant disruption to our business and operations and harm our financial condition and results of operations.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under our current contractual arrangements, the spouse of Mr. Chen has executed spousal consent letters, under which she agrees that she will not take any actions or raise any claims to interfere with the performance by her spouse of the obligations under these contractual arrangements, including claiming community property ownership of the equity interests, and renounces any and all rights and interests related to such equity interests that she may be entitled to under applicable laws. We cannot assure you that these undertakings and arrangements will be complied with or effectively enforced. In the event that any of them is breached or becomes unenforceable and leads to legal proceedings, it could disrupt our business, distract our management’s attention and subject us to substantial uncertainties as to the outcome of any such legal proceedings.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rely on dividends paid by our PRC subsidiaries to fund any cash and financing requirements we may have. Any limitation on the ability of our PRC subsidiaries to pay dividends to us could have a material adverse effect on our ability to conduct our business and to pay dividends to holders of the ADSs and our ordinary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holding company, and we may rely on dividends to be paid by our wholly-owned PRC subsidiaries for our cash and financing requirements, including the funds necessary to pay dividends and other cash distributions to the holders of the ADSs and our ordinary shares and service any debt we may incur. If our wholly owned PRC subsidiaries incur debt on their own behalf in the future, the instruments governing the debt may restrict their ability to pay dividends or make other distributions to us.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PRC laws and regulations, wholly foreign-owned enterprises in the PRC, such as our WFOEs, may pay dividends only out of its accumulated profits as determined in accordance with PRC accounting standards and regulations. In addition, a wholly foreign-owned enterprise is required to set aside at least 10% of its after-tax profits each year, after making up previous years’ accumulated losses, if any, to fund certain statutory reserve funds, until the aggregate amount of such a fund reaches 50% of its registered capital. In addition, it may allocate a portion of its after-tax profits based on PRC accounting standards to discretionary reserve funds at its discretion. These reserve funds are not distributable as cash dividends. Any limitation on the ability of our wholly-owned PRC subsidiaries to pay dividends or make other distributions to us could materially and adversely limit our ability to grow, make investments or acquisitions that could be beneficial to our business, pay dividends, or otherwise fund and conduct our business.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lose the ability to use and enjoy assets held by the VIEs that may be material to the operation of certain portion of our business if the VIEs go bankrupt or becomes subject to a dissolution or liquidation proceeding.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VIEs and their subsidiaries hold part of our assets, some of which may be material to the operation of our business. If the VIEs go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the VIEs may not, in any manner, sell, transfer, mortgage or dispose of any of their material assets outside the ordinary course of operation or equity interests in the business operation without our prior consent. If the VIEs undergo voluntary or involuntary liquidation proceedings, independent third-party creditors may claim rights to some or all of these assets, thereby hindering our ability to operate our business, which could materially and adversely affect our business, financial condition and results of operations.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the chops of our PRC subsidiaries and the VIEs are not kept safely, are stolen or are used by unauthorized persons or for unauthorized purposes, the corporate governance of these entities could be severely and adversely compromised.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and VIEs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 </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Doing Business in China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PCAOB had historically been unable to inspect our auditor in relation to their audit work performed for our consolidated financial statements and the inability of the PCAOB to conduct inspections over our auditor in the past has deprived our investors with the benefits of such inspections.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are deprived of the benefits of such PCAOB inspections. The inability of the PCAOB to conduct inspections of auditors in China in the past had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consolidated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consolidated financial statements.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HFCAA, if the SEC determines that we have filed audit reports issued by a registered public accounting firm that has not been subject to inspections for the PCAOB for two consecutive years, the SEC shall prohibit our shares or ADSs from being traded on a national securities exchange or in the over-the-counter trading market in the United States.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16, 2021, the PCAOB issued a report to notify the SEC of its determination that the PCAOB was unable to inspect or investigate completely registered public accounting firms headquartered in mainland China and Hong Kong and our auditor is subject to that determination. In May 2022, the SEC conclusively listed us as a Commission-Identified Issuer under the HFCAA following the filing of our annual report on Form 20-F for the fiscal year ended December 31, 2021. As of the date of this prospectus,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this prospectus.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consolidated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PRC government’s significant oversight and discretion over our business operation could result in a material adverse change in our operations and the value of our ADSs.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 our business primarily in China. The PRC government has significant oversight and discretion over the conduct of our business, and may intervene or influence our operations at any time, as the government deems appropriate to advance regulatory and societal goals and policy positions.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Therefore, investors of our company and our business face potential uncertainty from actions taken by the PRC government affecting our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Moreover, in recent years, the PRC government has strengthened oversight over overseas offerings by and foreign investment in China-based issuers like us. For further details, see “Risk Factors—Risks Related to Doing Business in China—The approval of and filing with the CSRC or other PRC government authorities may be required if we were to conduct offshore offerings in the future, and, if required, we cannot predict whether or for how long we will be able to obtain such approval or complete such filing”. Any actions by the PRC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Changes in China’s economic, political or social conditions or government policies could have a material adverse effect on our business and operations.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all our operations are located in China. The PRC government has significant authority to regulate or intervene in the China operations of an offshore holding company, such as us, at any time.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In addition, the PRC government continues to play a significant role in regulating industry development by imposing industrial policies. The PRC government also has significant authority to exert influence on the ability of a China-based company, such as us, to conduct its business. Therefore, investors of our company and our business face potential uncertainty from China. The PRC government also exercises significant control over China’s economic growth through allocating resources, controlling payment of foreign currency-denominated obligations, setting monetary policy, and providing preferential treatment to particular industries or companies.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Chinese economy has experienced significant growth over the past decades, growth has been uneven, both geographically and among various sectors of the economy. If economic conditions, particularly in China, as well as globally do not improve, our business and operating results may be adversely affected. Separately, any other or further adverse changes in economic conditions in China, in government policies or in the laws and regulations in China could have a material adverse effect on the overall economic growth. Such developments could adversely affect our business and operating results, lead to reduction in demand for our products and services and adversely affect our competitive position. 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policies that encourage increased competition in our industry, or additional control over capital investments or changes in tax regulations. In addition, in the past the PRC government has implemented certain measures, including interest rate adjustment, to control the pace of economic growth. These measures may cause decreased economic activity in China, which may adversely affect our business and operating results.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Uncertainties with respect to the PRC legal system and changes in laws and regulations in China could materially and adversely affect us.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 our business primarily through our PRC subsidiaries and consolidated VIEs in China. Our operations in China are governed by PRC laws and regulations. Our PRC subsidiaries and consolidated VIEs are subject to laws and regulations applicable to foreign investment in China. The PRC legal system is based on written statutes, and court decisions have limited precedential value. The PRC legal system is evolving rapidly and PRC laws, regulations, and rules may change quickly with little advance notice. The interpretations of many PRC laws, regulations and rules may contain inconsistencies, the enforcement of which involves uncertainties. For example, the PRC Foreign Investment Law, which took effect on January 1, 2020, embodies a PRC regulatory trend to rationalize its foreign investment regulatory regime in line with prevailing international practice and the legislative efforts to unify the corporate legal requirements for both foreign and domestic investments. However, substantial uncertainties exist with respect to the interpretation and implementation of the PRC Foreign Investment Law, its implementation rules and ancillary regulations, which may materially impact the viability of our current corporate structure, corporate governance and business operations. We cannot assure you that we will remain fully compliant with all new regulatory requirements or any future implementation rules on a timely basis, or at all. Any failure of us to fully comply with new regulatory requirements may significantly limit or completely hinder our ability to offer or continue to offer the ADSs, cause significant disruption to our business operations, and severely damage our reputation, which would materially and adversely affect our financial condition and results of operations and cause the ADSs to significantly decline in value or become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we may have to resort to court and administrative proceedings to enforce our legal rights. However, since PRC judicial and administrative authorities have significant discretion in interpreting and implementing statutory and contractual terms, it may be more difficult to predict the outcome of a judicial or administrative proceeding than in more developed legal systems. Furthermore, the PRC legal system is based, in part, on government policies and internal rules, some of which are not published in a timely manner, or at all, but which may have retroactive effect. As a result, we may not always be aware of any potential violation of these policies and rules until sometime after the violation. Such unpredictability towards our contractual, property (including intellectual property), and procedural rights could adversely affect our business and impede our ability to continue our operations.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PRC government extensively regulates the internet industry, including foreign ownership of, and the licensing and permit requirements pertaining to, companies in the internet industry. These internet-related laws and regulations are constantly evolving, and their interpretation and enforcement involve significant uncertainties. As a result, in certain circumstances it may be difficult to determine what actions or omissions may be deemed to be in violation of applicable laws and regulations.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completion of the 2024 reorganization transaction, our former VIE, Foshan Viomi, holds an operating permit for e-commerce services and an operating permit for internet information services. After the completion of the 2024 reorganization transaction, Guangdong Interconnect has obtained an operating permit for e-commerce services and an operating permit for internet information services. In addition, the licenses, permits or registrations we may hold in the future are subject to periodic renewal. If we fail to maintain or renew one or more of our licenses and certificates when their term expires, or obtain such renewals on a timely manner, our operations could be disrupted. In addition, under the PRC laws and regulations, the VIEs as license holders are required to update certain licenses if any change to their respective name, registered capital or legal representative during the validity period of such license. If we fail to properly renew and maintain all such requisite licenses on time, we may face penalties and in extreme circumstances, order to suspend or terminate our website and online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future interpretation and application of existing PRC laws, regulations and policies and possible new laws, regulations or policies relating to the internet industry may create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our existing licenses or obtain new ones. Neither can we rule out the possibility that the licenses, permits, registrations or filings we hold may be deemed insufficient by PRC governments, which may restrain our ability to expand our business scope and may subject us to fines or other regulatory actions. Additionally, as we develop and expand our business scope, we may need to obtain additional permits and licenses and we cannot assure that we will be able to obtain such permits on time or at all. If the PRC government considers that we were operating without the proper approvals, licenses or permits or promulgates new laws and regulations that require additional approvals or licenses or imposes additional restrictions on the operation of any part of our business, it has the power, among other things, to levy fines, confiscate our income, revoke our business licenses, and require us to discontinue our relevant business or impose restrictions on the affected portion of our business. Any of these actions by the PRC government may have a material adverse effect on our business and results of operations.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actions in China against us or our management based on foreign laws.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exempted company incorporated under the laws of the Cayman Islands, we conduct substantially all of our operations in China and substantially all of our assets are located in China. In addition, most of our senior managements reside within China for a significant portion of the time and are PRC nationals. As a result, it may be difficult for you to effect service of process upon us or those persons inside mainland China. It may also be difficult for you to enforce U.S. courts judgments obtained in U.S. courts based on the civil liability provisions of the U.S. federal securities laws against us and our officers and directors, substantially all of whom currently reside outside of the United States and whose assets are located outside the United States. In addition, the courts of the Cayman Islands are unlikely (a) to recognize or enforce judgments of the United States courts obtained against us or our directors or officers predicated upon the civil liability provisions of the securities laws of the United States or any state in the United States, and (b) in original actions brought in the Cayman Islands to impose liabilities against us or our directors or officers that are predicated upon the civil liability provisions of federal securities laws of the United States or the securities laws of any state in the United States so far as the liabilities imposed by those provisions are penal in nature. 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disputes, based on the principle that a judgment of a competent foreign court imposes upon the judgment debtor an obligation to pay the liquidated sum for which such judgment has been given, and provided such judgment (1) is given by a foreign court of competent jurisdiction, (2) imposes on the judgment debtor a liability to pay a liquidated sum for which the judgment has been given, (3) is final and conclusive, (4) is not in respect of taxes, a fine or a penalty, (5) is not inconsistent with a Cayman Islands judgment in respect of the same matter, and (6)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 may be difficult for overseas regulators to conduct investigation or collect evidence within China.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 claims or regulatory investigation that are common in the United States, including securities law class actions and fraud claims,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Unitied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and no entities or individuals may provide documents or materials in connection with its securities activities to the overseas without proper authorization. In addition, on February 24, 2023, the CSRC, the PRC Ministry of Finance, National Administration of State Secrets Protection and National Archives Administration of China jointly issued the Provisions on Strengthening Confidentiality and Archives Management of Overseas Securities Issuance and Listing by Domestic Enterprises, which became effective on March 31, 2023. The provisions require, among others, that PRC domestic enterprises seeking to offer and list securities in overseas markets, either directly or indirectly, shall establish the confidentiality and archives system, and shall complete approval and filing procedures with competent authorities, if such PRC domestic enterprises or their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 accounting files or copies of important preservation value to the state and society shall be subject to corresponding procedures in accordance with the laws and regulations. While detailed interpretation of or implementation rules under the provisions and Article 177 of the PRC Securities Law have yet to be available, the inability for an overseas securities regulator to directly conduct investigation or evidence collection activities within China may further increase difficulties faced by investors in protecting your interests. See also “Item 3. Key Information—D. Risk Factors—Risks Related to the ADSs—You may face difficulties in protecting your interests, and your ability to protect your rights through U.S. courts may be limited, because we are incorporated under Cayman Islands law” in our 2025 Form 20-F.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Changes in international trade policies and rising political tensions, particularly between the U.S. and China, may adversely impact our business and operating results.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changes in international trade policies and rising political tensions, particularly between the U.S. and China, but also as a result of the conflict in Ukraine and sanctions on Russia. The U.S. government has made statements and taken certain actions that may lead to potential changes to U.S. and international trade policies towards many countries, including China. For example, export controls, economic and trade sanctions have been threatened and/or imposed by the U.S. government on a number of Chinese technology companies. The United States has also threatened to impose further export controls, sanctions, trade embargoes, and other heightened regulatory requirements on China and Chinese companies for alleged activities both inside and outside of China. Against this backdrop, China has implemented, and may further implement, measures in response to the changing trade policies, treaties, tariffs and sanctions and restrictions against Chinese companies initiated by the U.S. government. For example, the Ministry of Commerce of China published Rules on Counteracting Unjustified Extra-Territorial Application of Foreign Legislation and Other Measures in January 2021 to counter restrictions imposed by foreign countries on Chinese citizens and companies.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monitoring policies in the United States that are aimed at restricting U.S. persons from investing in certain Chinese companies and/or imposing sanctions on Chinese entities. The United States and various foreign governments have imposed controls, license requirements and restrictions on the import or export of technologies and products (or voiced the intention to do so). For instance, in October 2022, the Bureau of Industry and Security (BIS) of the U.S. Department of Commerce issued rules aimed at restricting China’s ability to obtain advanced computing chips, develop and maintain supercomputers and manufacture advanced semiconductors. On August 9, 2023, the Biden administration released an executive order directing the U.S. Department of the Treasury to create an outbound FDI review program that will require reporting on or (in more narrow circumstances) will prohibit investments by U.S. persons involving “covered national security technologies and products.” On June 21, 2024, the U.S. Department of the Treasury issued a notice of proposed rulemaking on outbound U.S. investment involving China that generally follows the advanced notice of proposed rulemaking. On October 28, 2024, the U.S. Department of the Treasury issued a final rule imposing restrictions on U.S. outbound investment in Chinese companies active in developing certain national security technologies. The final rule took effect on January 2, 2025. The final rule targets investments involving persons and entities associated with “countries of concern,” currently limited to China, and it imposes investment prohibition and notification requirements on a wide range of investments in companies engaged in activities relating to three sectors: (i) semiconductors and microelectronics, (ii) quantum information technologies, and (iii) artificial intelligence systems, with persons from countries of concern engaged in these technologies defined as “covered foreign persons.” Investments by U.S. persons subject to the final rule, which are defined as “covered transactions,” include acquisition of equity or a contingent equity interest, provision of certain debt financing, conversion of contingent equity interest into equity interest, involvement in greenfield or brownfield investment, entrance into a joint venture, and acquisition of a limited partner interest in non-U.S. pooled investment fund. The final rule excludes some investments from the scope of “covered transactions,” including those in publicly traded securities listed on a national stock exchange. The final rule is aimed at exerting greater U.S. government oversight over U.S. direct and indirect investments involving China, and may introduce new hurdles and uncertainties for cross-border collaborations, investments, and funding opportunities of China-based companies. We do not believe we would be defined as “covered foreign person” under the final rule, because we do not engage in a “covered activity” (as defined in the final rule) or otherwise meet the definition of “covered foreign person” provided in the final rule. However, there is no assurance that the U.S. Department of the Treasury will take the same view as ours. If we were to be deemed a “covered foreign person,” and if U.S. persons engaged in a “covered transaction” that involves the acquisition of our equity interests, such U.S. persons may be prohibited to do so or may need to make a notification, as applicable pursuant to the final rule. In addition, our ability to raise capital or contingent equity capital from U.S. investors may be limited due to the final rule and other similar laws, regulations and policies, given that relevant laws, regulations, and policies continue to evolve and we cannot rule out the possibility of being deemed a covered foreign person in the future due to different views taken by the U.S. Department of Treasury, potential amendments to the final rule or the introduction of similar regulations. If our ability to raise such capital is significantly and negatively affected, it could be detrimental to our business, financial condition and prospects.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18, 2025, the Comprehensive Outbound Investment National Security Act of 2025, or the COINS Act, was signed into law. The COINS Act will keep the core of the final rule while expanding its scope and coverage and clearly including underwriting services as an exception and amending certain key definitions such as “covered foreign person.” The COINS Act will not take effect until the Department of Treasury issues new regulations (subject to notice and comment), which it must do by March 13, 2027, providing Department of Treasury with the opportunity to further amend or expand existing prohibitions and restrictions in accordance with the COINS Act. In the meantime, the existing final rule will remain in effect. The content of the implementation regulations remain uncertain. If our ability to raise such capital is significantly and negatively affected, it could be detrimental to our business, financial condition and prospects, and our ADSs may significantly decline in value.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Rising trade and political tensions could reduce levels of trade, investments, technological exchanges and other economic activities between China and other countries, which would have an adverse effect on global economic conditions, the stability of global financial markets, and international trade policies. We begin to expand our business internationally. Any unfavorable government policies on international trade or any restriction on Chinese companies may affect consumer demand for our products and service, impact our competitive position, or prevent us from being able to conduct business in certain countries. In addition, our results of operations could be adversely affected if any such tensions or unfavorable government trade policies harm the Chinese economy or the global economy in general. </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are classified as a PRC resident enterprise for PRC income tax purposes, such classification could result in unfavorable tax consequences to us and our non-PRC shareholders or ADS holders.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and substantial management of the business, productions, personnel, accounts and properties of an enterprise. In 2009, the State Administration of Taxation, or the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where senior management personnel and departments that are responsible for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not a PRC resident enterprise for PRC tax purposes. See “</w:t>
      </w:r>
      <w:r>
        <w:rPr>
          <w:rFonts w:ascii="Times New Roman;Times;Serif" w:hAnsi="Times New Roman;Times;Serif"/>
          <w:b w:val="false"/>
          <w:i/>
          <w:caps w:val="false"/>
          <w:smallCaps w:val="false"/>
          <w:sz w:val="20"/>
        </w:rPr>
        <w:t>Item 4. Information on the Company—B. Business Overview—Regulations—Regulations on Tax—PRC enterprise income tax</w:t>
      </w:r>
      <w:r>
        <w:rPr>
          <w:rFonts w:ascii="Times New Roman;Times;Serif" w:hAnsi="Times New Roman;Times;Serif"/>
          <w:b w:val="false"/>
          <w:i w:val="false"/>
          <w:caps w:val="false"/>
          <w:smallCaps w:val="false"/>
          <w:sz w:val="20"/>
        </w:rPr>
        <w:t xml:space="preserve">.”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may be required to withhold a 10% withholding tax, unless a reduced rate is available under an applicable tax treaty, from dividends we pay to our shareholders that are nonresident enterprises, including the holders of our ADSs. In addition, non-resident enterprise shareholders (including our ADS holders) may be subject to PRC tax on gains realized on the sale or other disposition of ADSs or ordinary shares, if such income is treated as sourced from within the PRC. Furthermore, if we are deemed a PRC resident enterprise, dividends payable to our non-PRC individual shareholders (including our ADS holders) and any gain realized on the transfer of ADSs or ordinary shares by such shareholders may be subject to PRC tax at a rate of 20% unless a reduced rate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face uncertainty with respect to indirect transfers of equity interests in PRC resident enterprises by their non-PRC holding companies.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3, 2015, the State Administration of Taxation issued a Public Notice Regarding Certain Corporate Income Tax Matters on Indirect Transfer of Properties by Non-Tax Resident Enterprises. Pursuant to this notice, where a non-resident enterprise transfers taxable assets indirectly by disposing of the equity interests of an overseas holding company, which is an Indirect Transfer, the non-resident enterprise, being the transferor, or the transferee, or the PRC entity that directly owns the taxable assets, may report such Indirect Transfer to the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 However, according to the aforesaid safe harbor rule, the PRC tax would not be applicable to the transfer by any non-resident enterprise of ADSs of the Company acquired and sold on public securities markets.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17, 2017, the State Administration of Taxation issued a Public Notice of the State Administration of Taxation on Issues Concerning the Withholding of Non-resident Enterprise Income Tax at Source, which clarifies the tax withholding methods in respect of income of non-resident enterprises In addition, this notice abolished certain provisions stipulated in the Public Notice Regarding Certain Corporate Income Tax Matters on Indirect Transfer of Properties by Non-Tax Resident Enterprises. Where the non-resident enterprise fails to declare the tax payable pursuant to Article 39 of the PRC Enterprise Income Tax Law, the tax authority may order it to pay the tax due within required time limits, and the non-resident enterprise shall declare and pay the tax payable within such time limits specified by the tax authority; however, if the non-resident enterprise voluntarily declares and pays the tax payable before the tax authority orders it to do so within required time limits, it shall be deemed that such enterprise has paid the tax in time.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the notices mentioned above. For transfer of shares in our company by investors who are non-PRC resident enterprises, our PRC subsidiaries may be requested to assist in the filing under these notices. As a result, we may be required to expend valuable resources to comply with these notices or to request the relevant transferors from whom we purchase taxable assets to comply with these circulars, or to establish that our company should not be taxed under these circulars, which may have a material adverse effect on our financial condition and results of operations.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our preferential tax treatments are revoked, become unavailable or if the calculation of our tax liability is successfully challenged by the PRC tax authorities, we may be required to pay tax, interest and penalties in excess of our tax provisions, and our results of operations could be materially and adversely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PRC government has provided various tax incentives to our certain subsidiary. These incentives include reduced enterprise income tax rates. For example, under the PRC Enterprise Income Tax Law and its implementation rules, the statutory enterprise income tax rate is 25%. However, enterprises which obtained a new software enterprise certification were entitled to an exemption of enterprise income tax for the first two years and a 50% reduction of enterprise income tax for the subsequent three years, commencing from the first profit-making year. In addition, the income tax of an enterprise that has been determined to be a high and new technology enterprise can be reduced to a preferential rate of 15%. Guangdong Lizi has obtained High and New Technology Enterprise status since December 1, 2020, and is thus eligible to enjoy a preferential tax rate of 15% for the periods presented and within the validity period of its High and New Technology Enterprise status, to the extent it has taxable income under the PRC Enterprise Income Tax Law. Any increase in the enterprise income tax rate applicable to our PRC subsidiaries or VIEs in China, or any discontinuation or retroactive or future reduction of any of the preferential tax treatments currently enjoyed by our PRC subsidiaries or VIEs in China, could adversely affect our business, financial condition and results of operations. In addition, in the ordinary course of our business, we are subject to complex income tax and other tax regulations and significant judgment is required in the determination of a provision for income taxes. Although we believe our tax provisions are reasonable, if the PRC tax authorities successfully challenge our position and we are required to pay tax, interest and penalties in excess of our tax provisions, our financial condition and results of operations would be materially and adversely affected.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Certain PRC regulations may make it more difficult for us to pursue growth through acquisitions.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Regulations on Mergers and Acquisitions of Domestic Enterprises by Foreign Investors, adopted by six PRC regulatory agencies in 2006 and amended by Ministry of Commerce in 2009, and other regulations and rules concerning mergers and acquisitions, such as the Anti-Monopoly Law last amended on June 24, 2022 and becoming effective on August 1, 2022, the Rules of the State Council on Declaration Threshold for Concentration of Undertakings last amended on December 29, 2023 and becoming effective on January 22, 2024 and the Provisions on the Review of Concentrations of Undertakings issued on March 10, 2023 and becoming effective on April 15, 2023, established additional procedures and requirements that could make merger and acquisition activities by foreign investors more time-consuming and complex. These regulations require, among other things, that the Ministry of Commerce be notified in advance of any change-of-control transaction in which a foreign investor acquires control of a PRC domestic enterprise or a foreign company with substantial PRC operations, if certain thresholds under the Rules of the State Council on Declaration Threshold for Concentration of Undertakings were triggered. See “Item 4. Information on the Company—B. Business Overview—Regulations—Regulations on M&amp;A rules and overseas listings” in our 2025 Form 20-F. Moreover, the PRC Anti-Monopoly Law requires that transactions which are deemed concentrations and involve parties with specified turnover thresholds must be cleared by the Ministry of Commerce before they can be completed. In addition, the Provisions of Ministry of Commerce on Implementation of Security Review System for Mergers and Acquisitions of Domestic Enterprises by Foreign Investors effective in September 2011 and the Measures for the Security Review of Foreign Investment effective in January 2021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laws and regulations to complete such transactions could be time-consuming, and any required approval processes, including obtaining approval or clearance from the Ministry of Commerce, may delay or inhibit our ability to complete such transactions, which could affect our ability to expand our business or maintain our market share. </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holding company, and we rely on dividends and other distributions on equity paid by our PRC subsidiaries for our cash and financing requirements, including the funds necessary to pay dividends and other cash distributions to our shareholders and service any debt we may incur. If any of our PRC subsidiaries incurs debt on its own behalf in the future, the instruments governing the debt may restrict its ability to pay dividends or make other distributions to us. In addition, the PRC tax authorities may require our PRC subsidiaries to adjust its taxable income under the contractual arrangements it currently has in place with the VIEs in a manner that would materially and adversely affect their ability to pay dividends and other distributions to us. See “Risk Factors—Risks Related to Our Corporate Structure—Contractual arrangements in relation to the VIEs may be subject to scrutiny by the PRC tax authorities and they may determine that we or the VIEs owe additional taxes, which could negatively affect our financial condition and the value of your investment.”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PRC laws and regulations, our PRC subsidiaries, as wholly foreign-owned enterprises in China, may pay dividends only out of its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employee benefits and bonus funds. These reserve funds and employee benefits and bonus funds are not distributable as cash dividends.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SAFE issued the Notice of the State Administration of Foreign Exchange on Further Improving and Adjusting the Policy for Foreign Exchange Control of Capital Accounts, or Circular 2, on January 10, 2014, which provides that offshore Renminbi loans provided by a domestic enterprise to offshore enterprises that it holds equity interests in shall not exceed 30% of such equity interests. Circular 2 may constrain our PRC subsidiaries’ ability to provide offshore loans to us. In addition, the People’s Bank of China and SAFE, have implemented a series of capital control measures, including stricter vetting procedures for China-based companies to remit foreign currency for overseas acquisitions, dividend payments and shareholder loan repayments. The PRC government may continue to strengthen its capital controls and our PRC subsidiaries’ dividends and other distributions may be subject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2014, the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purposes) to register with the SAFE or its local branches in connection with their direct or indirect offshore investment activities. SAFE Circular 37 is applicable to our shareholders who are PRC residents and may be applicable to any offshore acquisitions that we make in the future.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SAFE Circular 37, PRC residents who make, or have prior to the implementation of SAFE Circular 37 made, direct or indirect investments in offshore special purpose vehicles, or SPVs, are required to register such investments with the SAFE or its local branches. In addition, any PRC resident who is a direct or indirect shareholder of an SPV, is required to update its filed registration with the local branch of the SAFE with respect to that SPV, to reflect any material change. Moreover, any subsidiary of such SPV in China is required to urge the PRC resident shareholders to update their registration with the local branch of the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effective on June 1, 2015, which mandates that applications for foreign exchange registration of inbound foreign direct investments and outbound overseas direct investments, including those required under SAFE Circular 37, are required to be filed with qualified banks instead of the SAFE. The qualified banks will directly examine the applications and accept registrations under the supervision of the SAFE.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requested PRC residents who we know hold direct or indirect interest in our company to make the necessary applications, filings and registrations as required under SAFE Circular 37. However, we may not be informed of the identities of all the PRC residents holding direct or indirect interest in our company, and we cannot provide any assurance that all these PRC residents have complied or will comply with SAFE Circular No. 37 or the subsequent implementation rules to complete the applicable registrations. The failure or inability of our PRC resident shareholders to comply with the registration procedures set forth in these regulations may subject us to fines and legal sanctions, restrict our cross-border investment activities, limit the ability of our wholly foreign-owned subsidiary in China to distribute to us dividends and the proceeds from any reduction in capital, share transfer or liquidation, and we may also be prohibited from injecting additional capital into the subsidiary. Moreover, failure to comply with the various foreign exchange registration requirements described above could result in liability under PRC laws for circumventing applicable foreign exchange restrictions. As a result, our business operations and our ability to distribute profits to you could be materially and adversely affected.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as these foreign exchange regulations and their interpretation and implementation has been constantly evolving, it is unclear how these regulations, and any future regulation concerning offshore or cross-border transactions, will be interpreted, amended and implemented by the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Any failure to comply with PRC regulations regarding the registration requirements for employee stock incentive plans may subject the PRC plan participants or us to fines and other legal or administrative sanctions.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2012, the SAFE promulgated the Notices on Issues Concerning the Foreign Exchange Administration for Domestic Individuals Participating in Stock Incentive Plan of Overseas Publicly Listed Company. Pursuant to these rules, PRC citizens and non-PRC citizens who have resided in China for a continuous period of not less than one year are required to register with the SAFE through a domestic qualified agent, which could be the PRC subsidiary of such overseas-listed company, and complete certain other procedures if they participate in any stock incentive plan of an overseas publicly listed company, unless certain exceptions are available. In addition, an overseas-entrusted institution must be retained to handle matters in connection with the exercise or sale of stock options and the purchase or sale of shares and interests. We and our executive officers and other employees who are PRC citizens or non-PRC citizens living in the PRC for a continuous period of not less than one year and have been granted options are subject to these regulations. Failure to complete the SAFE registrations may result in fines of up to RMB300,000 for entities, or up to RMB50,000 for individuals,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laws. See “Item 4. Information on the Company—B. Business Overview—Regulations—Regulations on employee share incentive plan of overseas publicly listed company” in our 2025 Form 20-F.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Failure to make adequate contributions to various government-sponsored employee benefits plans as required by PRC regulations may subject us to penalties.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employees up to a maximum amount specified by the local government from time to time at locations where our employees are based. The requirements of employee benefit plans have not been implemented consistently by the local governments in China given the different levels of economic development in different locations. We have paid the social insurance and housing fund contributions for all of our employees, though the amount of such social insurance or housing fund contributions we paid for certain employees was lower than the requirements of the PRC regulations. If local authorities determine that we failed to make adequate contributions to any employee benefits as required by the PRC regulations, we may face late fees or fines in relation to the underpaid employee benefits. In addition, our provision for these liabilities may not be adequate, particularly in light of the recent tightening regulations. As a result, our financial condition and results of operations may be materially and adversely affected.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face certain risks relating to the real properties that we lease.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lease real properties from third parties primarily for our office use in China, and none of our lease agreements for these properties has been registered with the PRC governmental authorities as required by PRC laws.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each lease agreement that has not been registered with the PRC governmental authorities.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ownership certificate or other similar proof of one of our leased properties has not been provided to us by the lessor. Therefore, we cannot assure you that such lessor is entitled to lease the relevant real properties to us. If the lessor is not entitled to lease the real properties to us and the owner of such real properties decline to ratify the lease agreements between us and the respective lessor, we may not be able to enforce our rights to lease such properties under the lease agreement against the owner. As of December 31, 2025, we are not aware of any claim or challenge brought by any third parties concerning our use of leased properties. If our lease agreements are claimed as null and void by third parties who are the real owners of such leased real properties, we could be required to vacate the properties, in which event we could only initiate claims against the lessors under relevant lease agreements for losses resulting from indemnities for their breach of the relevant leasing agreements. We cannot assure you that suitable alternative locations are readily available on commercially reasonable terms, or at all, and if we are unable to relocate our officers in a timely manner, our operations may be interrupted.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PRC regulation of loans to and direct investment in PRC entities by offshore holding companies and governmental control of currency conversion may delay or prevent us from using the proceeds of our securities offering to make loans or additional capital contributions to our PRC subsidiaries, which could materially and adversely affect our liquidity and our ability to fund and expand our business.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offshore holding company conducting our operations in China through our PRC subsidiaries and VIEs. We may make loans to our PRC subsidiaries and VIEs subject to the approval from or registration with governmental authorities and limitation on amount, or we may make additional capital contributions to our wholly foreign-owned subsidiary in China. Any loans to our wholly foreign-owned subsidiary in China, which are treated as foreign-invested enterprises under PRC laws, are subject to foreign exchange loan registrations. In addition, a foreign-invested enterprise shall use its capital pursuant to the principle of authenticity and self-use within its business scope. According to the PRC regulations on foreign-invested enterprises in China, capital contributions to our PRC subsidiaries are subject to the requirement of making necessary filings or reports in the Foreign Investment Comprehensive Management Information System, and registration with a local bank authorized by SAFE. Any medium or long-term loan to be provided by us to our consolidated affiliated entities must be filed with the National Development and Reform Commission and recorded by SAFE or its local branches through the online filing system of SAFE pursuant to applicable PRC regulations.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Circular on Reforming the Administration Measures on Conversion of Foreign Exchange Registered Capital of Foreign-invested Enterprises, which was issued by the SAFE and was most recently amended on March 23, 2023, allows for the use of RMB converted from the foreign currency-denominated capital for equity investments in the PRC, provided that such usage shall fall into the scope of business of the foreign-invested enterprise, which will be regarded as the reinvestment of foreign-invested enterprise. In addition, the Circular Regarding Further Promotion of the Facilitation of Cross-Border Trade and Investment, which was promulgated by the SAFE and was most recently amended on December 4, 2023, allows foreign-invested enterprises whose business scope does not include investment, or non-investment foreign-invested enterprises, to use their capital funds to make equity investments in China, subject to certain conditions. Pursuant to the Circular of the State Administration of Foreign Exchange on Matters Concerning Deepening the Reform of Foreign Exchange Administration for Cross-Border Investment and Financing, which was promulgated on September 12, 2025 by the SAFE and came into effect on September 12, 2025, foreign-invested enterprises (including non-investment foreign-invested enterprises) are explicitly permitted to use their foreign exchange registered capital and the RMB converted therefrom for domestic reinvestment, without the need to complete the registration of basic information on receiving domestic reinvestment by the invested enterprise or the equity transferor, on the premise that such reinvestment does not violate the special administrative measures for foreign investment access and the domestic invested projects are true and compliant.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light of the various requirements imposed by PRC regulations on loans to and direct investment in PRC entities by offshore holding companies, we cannot assure you that we will be able to complete the necessary government registrations or filings or obtain the necessary government approvals on a timely basis, if at all, with respect to future loans by us to our PRC subsidiaries or VIEs or with respect to future capital contributions by us to our PRC subsidiaries. If we fail to complete such registrations or obtain such approvals, our ability to use the proceeds from our securities offering and to capitalize or otherwise fund our PRC operations may be negatively affected, which could materially and adversely affect our liquidity and our ability to fund and expand our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Fluctuations in exchange rates could have a material adverse effect on our results of operations and the value of your investment.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our securities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 </w:t>
      </w:r>
    </w:p>
    <w:p>
      <w:pPr>
        <w:pStyle w:val="TextBody"/>
        <w:bidi w:val="0"/>
        <w:spacing w:before="0" w:after="0"/>
        <w:ind w:left="0" w:right="0" w:firstLine="72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Governmental control of currency conversion may limit our ability to utilize our cash balance effectively and affect the value of your investment.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PRC government imposes controls on the convertibility of the Renminbi into foreign currencies and, in certain cases, the remittance of currency out of China. We receive substantially all of our net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the SAFE by complying with certain procedural requirements. Specifically, under the existing exchange restrictions, without prior approval of the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the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approval of and filing with the CSRC or other PRC government authorities may be required if we were to conduct offshore offerings in the future, and, if required, we cannot predict whether or for how long we will be able to obtain such approval or complete such filing.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Regulations on Mergers and Acquisitions of Domestic Enterprises by Foreign Investors, which were adopted by six PRC regulatory agencies in 2006 and amended by Ministry of Commerce in 2009, require an overseas special purpose vehicle formed for listing purposes through acquisitions of PRC domestic companies and controlled by PRC persons or entities to obtain the approval from the CSRC prior to the listing and trading of such special purpose vehicle’s securities on an overseas stock exchange. The interpretation and application of the regulations are subject to further clarification,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2023, the CSRC promulgated the Trial Measures for Overseas Listing effective on March 31, 2023. According to the Trial Measures for Overseas Listing, PRC domestic companies that seek to offer and list securities in overseas markets, either in direct or indirect means, are required to fulfill the filing procedure with and report relevant information to the CSRC. See “Item 4. Information on the Company—B. Business Overview—Regulations—Regulations on M&amp;A rules and overseas listings” in our 2025 Form 20-F for details. In the event that a PRC domestic company fails to fulfill the filing procedure or conceals any material fact or falsifies any major content in its filing documents, this domestic company may be subject to administrative penalties, such as orders to rectify, warnings, fines, and its controlling shareholders, actual controlling beneficial owners, the person directly in charge and other directly liable persons may also be subject to administrative penalties, such as warnings and fines. The CSRC also held a press conference and clarified that even though PRC domestic companies already listed overseas on or prior to March 31, 2023, the effective date of the Trial Measures for Overseas Listing, shall be deemed as existing issuers and are not required to complete the filling procedures immediately, they shall still be required to file with the CSRC when subsequent matters such as refinancing are involved. Therefore, we are deemed as existing issuers according to the measures, and are required to file with the CSRC for our refinancing activities as required by the measures.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pursuant to the Provisions on Strengthening Confidentiality and Archives Management of Overseas Securities Issuance and Listing by Domestic Enterprises, which was released on February 24, 2023 and became effective on March 31, 2023, PRC domestic enterprises seeking to offer and list securities in overseas markets, either directly or indirectly, shall establish and improve the system of confidentiality and archives work, and shall complete approval and filing procedures with competent authorities, if such PRC domestic enterprises or their overseas listing entities provide or publicly disclose documents or materials involving state secrets and work secrets of state organs to relevant securities companies, securities service institutions, overseas regulatory agencies and other entities and individuals. See “Item 4. Information on the Company—B. Business Overview—Regulations—Regulations on M&amp;A rules and overseas listings” in our 2025 Form 20-F for details. The Trial Measures for Overseas Listing and the Provisions on Strengthening the Confidentiality and Archives Administration Concerning the Overseas Securities Offering and Listing of by Domestic Enterprises are subject to further implementation and interpretation, and there remains uncertainties as to how these provisions will affect our listing status and future financing. If we fail to complete the filing with or approval of the CSRC or other PRC government authorities in a timely manner or at all, for any future offering or any other activities which are subject to the filing or approval requirements under the aforesaid provisions, our ability to raise or utilize funds and our financial conditions, business operation, and business prospect may be adversely and materially affected.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cannot assure you that any new rules or regulations promulgated in the future will not impose additional requirements on us. If it is determined in the future that approval from or filing with the CSRC or other regulatory authorities or other procedures, including the cybersecurity review under the Cybersecurity Review Measures, are required if we were to conduct offshore offerings, it is uncertain whether we can or how long it will take us to obtain such approval or complete such filing procedures. If we were to conduct offshore offerings and fail to obtain such approval or filing procedures, or such approval or filing, if obtained by us, were to be rescinded, we would be subject to sanctions by the CSRC or other PRC regulatory authorities.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6" w:name="JG_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set forth in the applicable prospectus supplement(s).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7" w:name="JG_006"/>
      <w:bookmarkEnd w:id="7"/>
      <w:r>
        <w:rPr>
          <w:rFonts w:ascii="Times New Roman;Times;Serif" w:hAnsi="Times New Roman;Times;Serif"/>
          <w:b/>
          <w:i w:val="false"/>
          <w:caps/>
          <w:sz w:val="20"/>
        </w:rPr>
        <w:t>CAPITALIZATION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December 31, 2025 on a historical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should be read in conjunction with, and is qualified in its entirety by reference to, our audited consolidated financial statements and the notes thereto in our 2025 Form 20-F, which is incorporated by reference into this prospectus. Our historical results do not necessarily indicate our expected results for any future periods.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56"/>
        <w:gridCol w:w="60"/>
        <w:gridCol w:w="89"/>
        <w:gridCol w:w="1342"/>
        <w:gridCol w:w="104"/>
        <w:gridCol w:w="65"/>
        <w:gridCol w:w="95"/>
        <w:gridCol w:w="1279"/>
        <w:gridCol w:w="115"/>
      </w:tblGrid>
      <w:tr>
        <w:trPr/>
        <w:tc>
          <w:tcPr>
            <w:tcW w:w="7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115" w:type="dxa"/>
            <w:tcBorders/>
            <w:vAlign w:val="center"/>
          </w:tcPr>
          <w:p>
            <w:pPr>
              <w:pStyle w:val="TableContents"/>
              <w:bidi w:val="0"/>
              <w:spacing w:before="0" w:after="283"/>
              <w:jc w:val="left"/>
              <w:rPr/>
            </w:pPr>
            <w:r>
              <w:rPr/>
              <w:t> </w:t>
            </w:r>
          </w:p>
        </w:tc>
      </w:tr>
      <w:tr>
        <w:trPr/>
        <w:tc>
          <w:tcPr>
            <w:tcW w:w="7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 in thousands</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 in thousands</w:t>
            </w:r>
          </w:p>
        </w:tc>
        <w:tc>
          <w:tcPr>
            <w:tcW w:w="115" w:type="dxa"/>
            <w:tcBorders/>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b/>
              </w:rPr>
            </w:pPr>
            <w:r>
              <w:rPr>
                <w:b/>
              </w:rPr>
              <w:t>Cash and restricted cash</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971,030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138,855</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b/>
              </w:rPr>
            </w:pPr>
            <w:r>
              <w:rPr>
                <w:b/>
              </w:rPr>
              <w:t>Long-term borrowings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b/>
              </w:rPr>
            </w:pPr>
            <w:r>
              <w:rPr>
                <w:b/>
              </w:rPr>
              <w:t>51,666</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b/>
              </w:rPr>
            </w:pPr>
            <w:r>
              <w:rPr>
                <w:b/>
              </w:rPr>
              <w:t>7,388</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pPr>
            <w:r>
              <w:rPr/>
              <w:t>Class A Ordinary Shares (US$0.00001 par value; 4,800,000,000 shares authorized; 99,200,641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6</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1</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pPr>
            <w:r>
              <w:rPr/>
              <w:t>Class B Ordinary Shares (US$0.00001 par value; 150,000,000 shares authorized; 102,764,548 shares issued and outstanding as of December 31,2025)</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6</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pPr>
            <w:r>
              <w:rPr/>
              <w:t>Treasury stock</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(103,085</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(14,741</w:t>
            </w:r>
          </w:p>
        </w:tc>
        <w:tc>
          <w:tcPr>
            <w:tcW w:w="115" w:type="dxa"/>
            <w:tcBorders/>
            <w:shd w:fill="FFFFFF" w:val="clear"/>
            <w:vAlign w:val="center"/>
          </w:tcPr>
          <w:p>
            <w:pPr>
              <w:pStyle w:val="TableContents"/>
              <w:bidi w:val="0"/>
              <w:spacing w:before="0" w:after="283"/>
              <w:jc w:val="left"/>
              <w:rPr/>
            </w:pPr>
            <w:r>
              <w:rPr/>
              <w:t>)</w:t>
            </w:r>
          </w:p>
        </w:tc>
      </w:tr>
      <w:tr>
        <w:trPr/>
        <w:tc>
          <w:tcPr>
            <w:tcW w:w="705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1,414,499</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202,271</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226,317</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32,363</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(11,080</w:t>
            </w:r>
          </w:p>
        </w:tc>
        <w:tc>
          <w:tcPr>
            <w:tcW w:w="10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(1,584</w:t>
            </w:r>
          </w:p>
        </w:tc>
        <w:tc>
          <w:tcPr>
            <w:tcW w:w="115" w:type="dxa"/>
            <w:tcBorders/>
            <w:shd w:fill="CCEEFF" w:val="clear"/>
            <w:vAlign w:val="center"/>
          </w:tcPr>
          <w:p>
            <w:pPr>
              <w:pStyle w:val="TableContents"/>
              <w:bidi w:val="0"/>
              <w:spacing w:before="0" w:after="283"/>
              <w:jc w:val="left"/>
              <w:rPr/>
            </w:pPr>
            <w:r>
              <w:rPr/>
              <w:t>)</w:t>
            </w:r>
          </w:p>
        </w:tc>
      </w:tr>
      <w:tr>
        <w:trPr/>
        <w:tc>
          <w:tcPr>
            <w:tcW w:w="7056" w:type="dxa"/>
            <w:tcBorders/>
            <w:shd w:fill="FFFFFF" w:val="clear"/>
            <w:vAlign w:val="center"/>
          </w:tcPr>
          <w:p>
            <w:pPr>
              <w:pStyle w:val="TableContents"/>
              <w:bidi w:val="0"/>
              <w:spacing w:before="0" w:after="283"/>
              <w:jc w:val="left"/>
              <w:rPr>
                <w:b/>
              </w:rPr>
            </w:pPr>
            <w:r>
              <w:rPr>
                <w:b/>
              </w:rPr>
              <w:t>Total equity attributable to shareholders of the Company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b/>
              </w:rPr>
            </w:pPr>
            <w:r>
              <w:rPr>
                <w:b/>
              </w:rPr>
              <w:t>1,526,663</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b/>
              </w:rPr>
            </w:pPr>
            <w:r>
              <w:rPr>
                <w:b/>
              </w:rPr>
              <w:t>218,311</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5,601</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801</w:t>
            </w:r>
          </w:p>
        </w:tc>
        <w:tc>
          <w:tcPr>
            <w:tcW w:w="115"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b/>
              </w:rPr>
            </w:pPr>
            <w:r>
              <w:rPr>
                <w:b/>
              </w:rPr>
              <w:t>1,532,264</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b/>
              </w:rPr>
            </w:pPr>
            <w:r>
              <w:rPr>
                <w:b/>
              </w:rPr>
              <w:t>219,112</w:t>
            </w:r>
          </w:p>
        </w:tc>
        <w:tc>
          <w:tcPr>
            <w:tcW w:w="115"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b/>
              </w:rPr>
            </w:pPr>
            <w:r>
              <w:rPr>
                <w:b/>
              </w:rPr>
              <w:t>Total capitalization</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b/>
              </w:rPr>
            </w:pPr>
            <w:r>
              <w:rPr>
                <w:b/>
              </w:rPr>
              <w:t>1,583,930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b/>
              </w:rPr>
            </w:pPr>
            <w:r>
              <w:rPr>
                <w:b/>
              </w:rPr>
              <w:t>226,500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JG_007"/>
      <w:bookmarkEnd w:id="8"/>
      <w:r>
        <w:rPr>
          <w:rFonts w:ascii="Times New Roman;Times;Serif" w:hAnsi="Times New Roman;Times;Serif"/>
          <w:b/>
          <w:i w:val="false"/>
          <w:caps/>
          <w:sz w:val="20"/>
        </w:rPr>
        <w:t>DESCRIPTION OF SHARE CAPITAL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material terms of our securities includes a summary of specified provisions of our currently effective memorandum and articles of association. This description is qualified by reference to our currently effective memorandum and articles of association. All capitalized terms used in this section are as defined in our memorandum and articles of association, unless elsewhere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our affairs are governed by our memorandum and articles of association, as amended from time to time, the Cayman Islands Companies Act,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US$50,000 consisting of 5,000,000,000 shares of a par value of US$0.00001 each, consisting of 4,800,000,000 Class A Ordinary Shares, 150,000,000 Class B Ordinary Shares and 50,000,000 shares of a par value of US$0.00001 each of such class or classes (however designated) as our board of directors may determine in accordance with our memorandum and articles of association, as amended from time to time. All Ordinary Shares issued and outstanding as of the date of this prospectus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memorandum and articles of association and of the Companies Act of the Cayman Islands insofar as they relate to the material terms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Objects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memorandum and articles of association, the objects of our company are unrestricted and we have the full power and authority to carry out any object not prohibited by the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shareholders. We may not issue shares to bearer. Our shareholders who are nonresidents of the Cayman Islands may freely hold and vote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Class A ordinary share at any time by the holder thereof. Class A ordinary shares are not convertible into Class B ordinary shares under any circumstances. Upon any sale, transfer, assignment or disposition of any Class B ordinary share by Mr. Xiaoping Chen or Viomi Limited to any person who is not Mr. Xiaoping Chen or his affiliate(s), or upon a change of ultimate beneficial ownership of any Class B ordinary share to any person who is not Mr. Xiaoping Chen or his affiliate(s), such Class B ordinary share shall be automatically and immediately converted into one Class A ordinary share. Upon any sale, transfer, assignment or disposition of any Class B ordinary share by a shareholder other than Mr. Xiaoping Chen or his affiliate(s) to any person, such Class B ordinary share shall be automatically and immediately converted into one Class A ordinary share.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ordinary shares are entitled to such dividends as may be declared by our board of directors. In addition, our shareholders may declare dividends by ordinary resolution, but no dividend shall exceed the amount recommended by our directors. Our memorandum and articles of association provide that dividends may be declared and paid out of our profits, realized or unrealized, or from any reserve set aside from funds legally available for distribution.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all matters subject to a shareholders’ vote, each holder of Class A ordinary shares is entitled to one vote per share and each holder of Class B ordinary shares is entitled to ten votes per share on all matters subject to vote at our general meetings. Our Class A ordinary shares and Class B ordinary shares vote together as a single class on all matters submitted to a vote of our shareholders, except as may otherwise be required by law. Voting at any shareholders’ meeting is by show of hands unless a poll is demanded (before or on the declaration of the result on a show of hands). A poll may be demanded by the chairman of such meeting or any shareholder present in person or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obliged by the Companies Act of the Cayman Islands to call 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chairman of our board of directors or a majority of our board of directors (acting by a resolution of the board of directors). Advance notice of at least seven calendar days is required for the convening of our annual general shareholders’ meeting (if any) and any other general meeting of our shareholders. A quorum required for any general meeting of shareholders consists of one or more shareholders present in person or by proxy, representing not less than one-third of all votes attaching to all of our shares in issue and entitled to vote.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the Cayman Islands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set out in our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Nasdaq may determine to be payable or such lesser sum as our directors may from time to time require is paid to us in respect thereof.</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Shares and Forfeiture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amounts unpaid on their shares in a notice served to such shareholders at least 14 calendar days prior to the specified time of payment. The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Repurchase and Surrender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shares on terms that such shares are subject to redemption, at our option or at the option of the holders of these shares, on such terms and in such manner as may be determined, before the issue of such shares, by our board of directors or by shareholders by special resolutions. Our Company may also repurchase any of our shares on such terms and in such manner as have been approved by our board of directors or by an ordinary resolution of our shareholders. Under the Companies Act of the Cayman Islands,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of the Cayman Islands,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Variations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our share capital is divided into different classes of shares, the rights attached to any such class of shares (unless otherwise provided by the terms of issue of the shares of that class), may be materially adversely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with preferred or other rights shall not, unless otherwise expressly provided by the terms of issue of the shares of that class, be deemed to be materially adversely varied by the creation or issue of further shares ranking pari passu with or subsequent to such existing class of shares or the redemption or purchase of any shares of any class by our company. In addition,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Additional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also authorizes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 the rights and terms of redemption and liquidation preferences.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Cayman Islands law to inspect or obtain copies of our register of members or our corporate records (save for the memorandum and articles of association, our register of mortgages and charges and special resolutions passed by our shareholders). Under Cayman Islands law, the names of our current directors can be obtained from a search conducted at the Registrar of Companies. However, we will provide our shareholders with annual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Exempted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Companies Act of the Cayman Islands. The Companies Act of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given for a period of up to 30 years);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Board Practices</w:t>
      </w:r>
      <w:r>
        <w:rPr>
          <w:rFonts w:ascii="Times New Roman;Times;Serif" w:hAnsi="Times New Roman;Times;Serif"/>
          <w:b w:val="false"/>
          <w:i w:val="false"/>
          <w:caps w:val="false"/>
          <w:smallCaps w:val="false"/>
          <w:sz w:val="20"/>
        </w:rPr>
        <w:t>. A director may vote with respect to any contract, proposed contract or arrangement in which he is materially interested provided (a) such director, if his interest in such contract or arrangement is material, has declared the nature of his interest at the earliest meeting of the board at which it is practicable for him to do so, either specifically or by way of a general notice, (b) such director has not been disqualified by the chairman of the relevant board meeting, and (c) if such contract or arrangement is a transaction with a related party, such transaction has been approved by the audit committee in accordance with the Nasdaq rules.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AMERICAN DEPOSITARY SHARES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 will register and deliver the ADSs. Each ADS will represent ownership of three Class A ordinary shares,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treat ADS holders as our shareholders and accordingly, you, as an ADS holder, will not have shareholder rights. Cayman Islands law governs shareholder rights. The depositary will be the holder of the Class A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“—Jurisdiction and Arbitration.”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will you hold your ADSs?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will you receive dividends and other distributions on the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to you the cash dividends or other distributions it or the custodian receives on Class A ordinary shares or other deposited securities, after deducting its fees and expenses. You will receive these distributions in proportion to the number of Class A ordinary shares your ADSs represent as of the record date (which will be as close as practicable to the record date for our Class A ordinary shares) set by the depositary with respect to the ADSs.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w:t>
            </w:r>
            <w:r>
              <w:rPr>
                <w:rFonts w:ascii="Times New Roman;Times;Serif" w:hAnsi="Times New Roman;Times;Serif"/>
                <w:b w:val="false"/>
                <w:i w:val="false"/>
                <w:caps w:val="false"/>
                <w:smallCaps w:val="false"/>
                <w:sz w:val="20"/>
              </w:rPr>
              <w:t xml:space="preserve"> The depositary will convert or cause to be converted any cash dividend or other cash distribution we pay on the Class A ordinary shares or any net proceeds from the sale of any Class A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 distribution, any taxes or other governmental charges, together with fees and expenses of the depositary, that must be paid, will be deducted.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xml:space="preserve"> For any Class A ordinary shares we distribute as a dividend or free distribution, either (1) the depositary will distribute additional ADSs representing such Class A ordinary shares or (2) existing ADSs as of the applicable record date will represent rights and interests in the additional Class A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Class A ordinary shares which would require it to deliver a fractional ADS and distribute the net proceeds in the same way as it does with cash. The depositary may sell a portion of the distributed Class A ordinary shares sufficient to pay its fees and expenses, and any taxes and governmental charges, in connection with that distribution.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Elective Distributions in Cash or Shares.</w:t>
            </w:r>
            <w:r>
              <w:rPr>
                <w:rFonts w:ascii="Times New Roman;Times;Serif" w:hAnsi="Times New Roman;Times;Serif"/>
                <w:b w:val="false"/>
                <w:i w:val="false"/>
                <w:caps w:val="false"/>
                <w:smallCaps w:val="false"/>
                <w:sz w:val="20"/>
              </w:rPr>
              <w:t xml:space="preserve"> If we offer holders of our Class A ordinary shares the option to 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Class A ordinary shares for which no election is made, distribute either cash in the same way as it does in a cash distribution, or additional ADSs representing Class A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Class A ordinary shares.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to Purchase Additional Shares.</w:t>
            </w:r>
            <w:r>
              <w:rPr>
                <w:rFonts w:ascii="Times New Roman;Times;Serif" w:hAnsi="Times New Roman;Times;Serif"/>
                <w:b w:val="false"/>
                <w:i w:val="false"/>
                <w:caps w:val="false"/>
                <w:smallCaps w:val="false"/>
                <w:sz w:val="20"/>
              </w:rPr>
              <w:t xml:space="preserve"> If we offer holders of our Class A ordinary shares any rights to subscribe for additional 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Class A ordinary shares (rather than ADSs).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you will be given the opportunity to exercise rights on the same terms and conditions as the holders of Class A ordinary shares or be able to exercise such rights.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Distributions.</w:t>
            </w:r>
            <w:r>
              <w:rPr>
                <w:rFonts w:ascii="Times New Roman;Times;Serif" w:hAnsi="Times New Roman;Times;Serif"/>
                <w:b w:val="false"/>
                <w:i w:val="false"/>
                <w:caps w:val="false"/>
                <w:smallCaps w:val="false"/>
                <w:sz w:val="20"/>
              </w:rPr>
              <w:t xml:space="preserve"> Subject to receipt of timely notice, as described in the deposit agreement, from 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are ADSs issued?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ADS holders cancel an American Depositary Share?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Class A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ADS holders interchange between Certificated ADSs and Uncertificated ADSs?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you vote?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instruct the depositary to vote the Class A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Times New Roman;Times;Serif" w:hAnsi="Times New Roman;Times;Serif"/>
          <w:b w:val="false"/>
          <w:i/>
          <w:caps w:val="false"/>
          <w:smallCaps w:val="false"/>
          <w:sz w:val="20"/>
        </w:rPr>
        <w:t>Otherwise, you could exercise your right to vote directly if you withdraw the Class A ordinary shares. However, you may not know about the meeting sufficiently enough in advance to withdraw the Class A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Class A ordinary shares or other deposited securities represented by such holder’s ADSs; and (c) a brief statement as to the manner in which such instructions may be given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Class A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Class A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you will receive the voting materials in time to ensure that you can instruct the depositary to vote the Class A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Class A ordinary shares.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 and its agents are not responsible for failing to carry out voting instructions or for the manner of carrying out voting instructions. </w:t>
      </w:r>
      <w:r>
        <w:rPr>
          <w:rFonts w:ascii="Times New Roman;Times;Serif" w:hAnsi="Times New Roman;Times;Serif"/>
          <w:b w:val="false"/>
          <w:i/>
          <w:caps w:val="false"/>
          <w:smallCaps w:val="false"/>
          <w:sz w:val="20"/>
        </w:rPr>
        <w:t>This means that you may not be able to exercise your right to vote and you may have no recourse if the Class A ordinary shares underlying your ADSs are not voted as you requested.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Requests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Class A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Class A ordinary shares are listed or traded, or pursuant to any requirements of any electronic book-entry system by which the ADSs, ADRs or Class A ordinary shares may be transferred, to the same extent as if such ADS holder or beneficial owner held Class A ordinary shares directly, in each case irrespective of whether or not they are ADS holders or beneficial owners at the time such request is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Interests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holder and beneficial owner shall comply with our requests pursuant to Cayman Islands law, the rules and requirements of the Nasdaq Stock Market and any other stock exchange on which the Class A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21"/>
        <w:gridCol w:w="60"/>
        <w:gridCol w:w="2924"/>
      </w:tblGrid>
      <w:tr>
        <w:trPr/>
        <w:tc>
          <w:tcPr>
            <w:tcW w:w="72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tcMar>
              <w:bottom w:w="0" w:type="dxa"/>
            </w:tcMar>
            <w:vAlign w:val="center"/>
          </w:tcPr>
          <w:p>
            <w:pPr>
              <w:pStyle w:val="TableContents"/>
              <w:bidi w:val="0"/>
              <w:spacing w:before="0" w:after="283"/>
              <w:jc w:val="left"/>
              <w:rPr/>
            </w:pPr>
            <w:r>
              <w:rPr/>
              <w:t> </w:t>
            </w:r>
          </w:p>
        </w:tc>
        <w:tc>
          <w:tcPr>
            <w:tcW w:w="29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issued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including the case of termination of the deposit agreement</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cancelled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dividends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entitlements (other than cash dividends) and/or cash proceeds from the sale of rights, securities and other entitlements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ADSs pursuant to exercise of rights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other than ADSs or rights to purchase additional ADSs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72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services</w:t>
            </w:r>
          </w:p>
        </w:tc>
        <w:tc>
          <w:tcPr>
            <w:tcW w:w="60" w:type="dxa"/>
            <w:tcBorders/>
            <w:tcMar>
              <w:bottom w:w="0" w:type="dxa"/>
            </w:tcMar>
            <w:vAlign w:val="center"/>
          </w:tcPr>
          <w:p>
            <w:pPr>
              <w:pStyle w:val="TableContents"/>
              <w:bidi w:val="0"/>
              <w:spacing w:before="0" w:after="283"/>
              <w:jc w:val="left"/>
              <w:rPr/>
            </w:pPr>
            <w:r>
              <w:rPr/>
              <w:t> </w:t>
            </w:r>
          </w:p>
        </w:tc>
        <w:tc>
          <w:tcPr>
            <w:tcW w:w="29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 on the applicable record date(s) established by the depositary bank</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Class A ordinary shares charged by the registrar and transfer agent for the Class A ordinary shares in the Cayman Islands (i.e., upon deposit and withdrawal of Class A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Class A ordinary shares are deposited or withdrawn from deposit).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Class A ordinary shares on deposit.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Class A ordinary shares, deposited securities, ADSs and ADRs that evidence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Reclassifications, Recapitalizations and Mergers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27"/>
        <w:gridCol w:w="60"/>
        <w:gridCol w:w="5518"/>
      </w:tblGrid>
      <w:tr>
        <w:trPr/>
        <w:tc>
          <w:tcPr>
            <w:tcW w:w="462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w:t>
            </w:r>
          </w:p>
        </w:tc>
        <w:tc>
          <w:tcPr>
            <w:tcW w:w="60" w:type="dxa"/>
            <w:tcBorders/>
            <w:tcMar>
              <w:bottom w:w="0" w:type="dxa"/>
            </w:tcMar>
            <w:vAlign w:val="center"/>
          </w:tcPr>
          <w:p>
            <w:pPr>
              <w:pStyle w:val="TableContents"/>
              <w:bidi w:val="0"/>
              <w:spacing w:before="0" w:after="283"/>
              <w:jc w:val="left"/>
              <w:rPr/>
            </w:pPr>
            <w:r>
              <w:rPr/>
              <w:t> </w:t>
            </w:r>
          </w:p>
        </w:tc>
        <w:tc>
          <w:tcPr>
            <w:tcW w:w="551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Then:</w:t>
            </w:r>
          </w:p>
        </w:tc>
      </w:tr>
      <w:tr>
        <w:trPr/>
        <w:tc>
          <w:tcPr>
            <w:tcW w:w="46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nominal or par value of our Class A ordinary shares</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shares or other securities received by the depositary will become deposited securities.</w:t>
            </w:r>
          </w:p>
        </w:tc>
      </w:tr>
      <w:tr>
        <w:trPr/>
        <w:tc>
          <w:tcPr>
            <w:tcW w:w="46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6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Reclassify, split up or consolidate any of the deposited securities</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will automatically represent its equal share of the new deposited securities.</w:t>
            </w:r>
          </w:p>
        </w:tc>
      </w:tr>
      <w:tr>
        <w:trPr/>
        <w:tc>
          <w:tcPr>
            <w:tcW w:w="462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6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securities on the Class A ordinary shares that are not distributed to you, or Recapitalize, reorganize, merge, liquidate, sell all or substantially all of our assets, or take any similar action</w:t>
            </w:r>
          </w:p>
        </w:tc>
        <w:tc>
          <w:tcPr>
            <w:tcW w:w="60" w:type="dxa"/>
            <w:tcBorders/>
            <w:tcMar>
              <w:bottom w:w="0" w:type="dxa"/>
            </w:tcMar>
            <w:vAlign w:val="center"/>
          </w:tcPr>
          <w:p>
            <w:pPr>
              <w:pStyle w:val="TableContents"/>
              <w:bidi w:val="0"/>
              <w:spacing w:before="0" w:after="283"/>
              <w:jc w:val="left"/>
              <w:rPr/>
            </w:pPr>
            <w:r>
              <w:rPr/>
              <w:t> </w:t>
            </w:r>
          </w:p>
        </w:tc>
        <w:tc>
          <w:tcPr>
            <w:tcW w:w="551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distribute some or all of the cash, shares or other securities it received. It may also deliver new ADSs or ask you to surrender your outstanding ADRs in exchange for new ADRs identifying the new deposited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Times;Serif" w:hAnsi="Times New Roman;Times;Serif"/>
          <w:b w:val="false"/>
          <w:i/>
          <w:caps w:val="false"/>
          <w:smallCaps w:val="false"/>
          <w:sz w:val="20"/>
        </w:rPr>
        <w:t>At the time an amendment becomes effective, you are considered, by continuing to hold your ADSs, to agree to the amendment and to be bound by the ADRs and the deposit agreement as amended</w:t>
      </w:r>
      <w:r>
        <w:rPr>
          <w:rFonts w:ascii="Times New Roman;Times;Serif" w:hAnsi="Times New Roman;Times;Serif"/>
          <w:b w:val="false"/>
          <w:i w:val="false"/>
          <w:caps w:val="false"/>
          <w:smallCaps w:val="false"/>
          <w:sz w:val="20"/>
        </w:rPr>
        <w:t>.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terminated?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termination, the depositary and its agents will do the following under the deposit agreement but nothing else: collect distributions on the deposited securities, sell rights and other property and deliver Class A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Books of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maintain facilities in the Borough of Manhattan, The City of New York to record and process the issuance, cancellation, combination, split-up and transfer of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may be closed at any time or from time to time when such action is deemed necessary or advisable by the depositary in connection with the performance of its duties under the deposit agreement or at our reasonable written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Limits on our Obligations and the Obligations of the Depositary and the Custodian; Limits on Liability to Holders of ADSs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and the custodian. It also limits our liability and the liability of the depositary. The depositary and the custodian: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only obligated to take the actions specifically set forth in the deposit agreement without gross negligence or willful misconduct;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by reason of any exercise of, or failure to exercise, any discretion provided for in the deposit agreement or in our memorandum and articles of association or provisions of or governing deposited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any action or inaction of the depositary, the custodian or us or their or our respective controlling persons or agents in reliance upon the advice of or information from legal counsel, any person presenting Class A ordinary shares for deposit or any other person believed by it in good faith to be competent to give such advice or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the inability of any holder of ADSs to benefit from any distribution on deposited securities that is not made available to holders of ADSs under the terms of the deposit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any special, consequential, indirect or punitive damages for any breach of the terms of the deposit agreement,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rely upon any documents we believe in good faith to be genuine and to have been signed or presented by the proper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 any liability for any action or inaction of any of us or our respective controlling persons or agents in reliance upon the advice of or information from legal counsel, accountants, any person presenting Class A ordinary shares for deposit, holders and beneficial owners (or authorized representatives) of ADSs, or any person believed in good faith to be competent to give such advice or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 any liability for inability of any holder to benefit from any distribution, offering, right or other benefit made available to holders of deposited securities but not made available to holders of ADS.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Class A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and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federal courts.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Jury Trial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each party to the deposit agreement (including each holder, beneficial owner and holder of interest in the ADRs) irrevocably waives, to the fullest extent permitted by applicable law, any right it may have to trial by jury in any lawsuit or proceedings against us or the depositary arising out of or relating to our shares, the ADSs or the deposit agreement, including any claim under U.S. federal securities laws. If we or the depositary opposed a jury trial demand based on the waiver, the court would determine whether the waiver was enforceable based on the facts and circumstances of the case in accordance with the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issue, deliver or register a transfer of an ADS, split-up, subdivide or combine ADSs, make a distribution on an ADS, or permit withdrawal of Class A ordinary shares, the depositary may require: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stock transfer or other taxes or other governmental charges and transfer or registration fees charged by third parties for the transfer of any Class A ordinary shares or other deposited securities and payment of the applicable fees, expenses and charges of the depositary;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proof of the identity and genuineness of any signature or any other matters contemplated in the deposit agreement;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issue and deliver ADSs or register transfers of ADSs generally when the register of the depositary or our transfer books are closed or at any time if the depositary or we determine that it is necessary or advisable to do so.</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the right to cancel your ADSs and withdraw the underlying Class A ordinary shares at any time except:</w:t>
      </w:r>
    </w:p>
    <w:p>
      <w:pPr>
        <w:pStyle w:val="TextBody"/>
        <w:shd w:fill="FFFFFF" w:val="clear"/>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temporary delays arise because: (1) the depositary has closed its transfer books or we have closed our transfer books; (2) the transfer of Class A ordinary shares is blocked to permit voting at a shareholders’ meeting; or (3) we are paying a dividend on our Class A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owe money to pay fees, taxes and similar charges;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 is necessary to prohibit withdrawals in order to comply with any laws or governmental regulations that apply to ADSs or to the withdrawal of Class A ordinary shares or other deposited securities,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circumstances specifically contemplated by Section I.A.(l) of the General Instructions to Form F-6 (as such General Instructions may be amended from time to time);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other reason if the depositary or we determine, in good faith, that it is necessary or advisable to prohibit withdrawals.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knowingly accept for deposit under the deposit agreement any Class A ordinary shares or other deposited securities required to be registered under the provisions of the Securities Act, unless a registration statement is in effect as to such Class A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q_001"/>
      <w:bookmarkEnd w:id="9"/>
      <w:r>
        <w:rPr>
          <w:rFonts w:ascii="Times New Roman;Times;Serif" w:hAnsi="Times New Roman;Times;Serif"/>
          <w:b/>
          <w:i w:val="false"/>
          <w:caps/>
          <w:sz w:val="20"/>
        </w:rPr>
        <w:t>DESCRIPTION OF PREFERRED SHARES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or series of preferred shares will be described in the applicable prospectus supplement. This description will include, where applicable, a description of:</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nominal value of the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preferred shares we are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 per preferred share,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price per preferred share (or if applicable, the calculation formula of the issue price per preferred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preferential subscription rights will be issued to existing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 per preferred share, dividend period and payment dates and method of calculation for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dividends will be cumulative or non-cumulative and, if cumulative, the date from which dividends will accumulate;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dividends and the maximum length of any such deferral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ranking and preferences of the preferred shares as to dividend rights (preferred dividend if any) and rights if we liquidate, dissolve or wind up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redemption or repurchase, if applicable, and any restrictions on our ability to exercise those redemption and repurchase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preferred shares on any securities exchange or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will be convertible into our Class A ordinary shares (including in the form of ADSs) or preferred shares of another category, and, if applicable, conditions of an automatic conversion into Class A ordinary shares (including in the form of ADSs), if any, the conversion period, the conversion price, or how such price will be calculated, and under what circumstances it may be adjusted;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preemption rights,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restrictions on transfer, sale or assignment, if 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or special Cayman Islands or United States federal income tax considerations applicable to the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limitations on issuances of any class or series of preferred shares ranking senior to or on a parity with the series of preferred shares being issued as to dividend rights and rights if we liquidate, dissolve or wind up our affairs;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rights attached to the preferred shares regarding the corporate governance of our company, which may include, for example representation rights to the board of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rights, preferences, privileges, qualifications or restrictions of the preferred shares.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cause us to issue from time to time, out of our authorized share capital (other than the authorized but unissued ordinary shares), series of preferred shares in their absolute discretion and without approval of the shareholders; provided, however, before any preferred shares of any such series are issued, our board of directors shall by resolution of directors determine, with respect to any series of preferred shares, the terms and rights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issue preferred shares under this prospectus and the applicable prospectus supplement, the shares will be fully paid and non-assessable and will not have, or be subject to, any pre-emptive or similar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could adversely affect the voting power of holders of the ordinary shares and ADSs and reduce the likelihood that holders of the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sq_002"/>
      <w:bookmarkEnd w:id="10"/>
      <w:r>
        <w:rPr>
          <w:rFonts w:ascii="Times New Roman;Times;Serif" w:hAnsi="Times New Roman;Times;Serif"/>
          <w:b/>
          <w:i w:val="false"/>
          <w:caps/>
          <w:sz w:val="20"/>
        </w:rPr>
        <w:t>DESCRIPTION OF WARRANTS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warrants, which we may issue under this prospectus or the applicable prospectus supplement, does not purport to be complete and is subject to, and qualified in its entirety by reference to, the provisions of the warrant agreement that will be filed with the SEC in connection with the offering of such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Class A ordinary shares (including in the form of ADSs) and preferred shares.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such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such warrants will be issued and exercised;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 which the price of such warrants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purchasable upon exercise of such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warrants shall commence and the date on which such right shall expire;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such warrants which may be exercised at any one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such warrants are issued and the number of such warrants issued with each such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such warrants and the related securities will be separately transferable;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Cayman Islands or United States federal income tax consequences;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antidilution provisions of the warrants,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warrants, including terms, procedures and limitations relating to the exchange and exercise of such warrants.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sq_003"/>
      <w:bookmarkEnd w:id="11"/>
      <w:r>
        <w:rPr>
          <w:rFonts w:ascii="Times New Roman;Times;Serif" w:hAnsi="Times New Roman;Times;Serif"/>
          <w:b/>
          <w:i w:val="false"/>
          <w:caps/>
          <w:sz w:val="20"/>
        </w:rPr>
        <w:t>DESCRIPTION OF SUBSCRIPTION RIGHTS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Class A ordinary shares, including Class A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subscription rights in respect of which this prospectus is being delivered: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for which such subscription rights are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such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such subscription rights issued to each shareholder;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are transferable;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the material Cayman Islands or United States federal income tax considerations applicable to the issuance or exercise of such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subscription rights shall commence, and the date on which such rights shall expire (subject to any extension);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include an over-subscription privilege with respect to unsubscribed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other purchase arrangement that we may enter into in connection with the subscription rights offering;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subscription rights, including terms, procedures and limitations relating to the exchange and exercise of such subscription rights.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Class A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sq_004"/>
      <w:bookmarkEnd w:id="12"/>
      <w:r>
        <w:rPr>
          <w:rFonts w:ascii="Times New Roman;Times;Serif" w:hAnsi="Times New Roman;Times;Serif"/>
          <w:b/>
          <w:i w:val="false"/>
          <w:caps/>
          <w:sz w:val="20"/>
        </w:rPr>
        <w:t>DESCRIPTION OF UNITS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unit agreement under which the units will be issued;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or global form.</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sq_005"/>
      <w:bookmarkEnd w:id="13"/>
      <w:r>
        <w:rPr>
          <w:rFonts w:ascii="Times New Roman;Times;Serif" w:hAnsi="Times New Roman;Times;Serif"/>
          <w:b/>
          <w:i w:val="false"/>
          <w:caps/>
          <w:sz w:val="20"/>
        </w:rPr>
        <w:t>ENFORCEABILITY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bidi w:val="0"/>
        <w:spacing w:before="0" w:after="0"/>
        <w:ind w:left="0" w:right="0" w:firstLine="72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stability;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effective judicial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favorable tax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exchange control or currency restrictions;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professional and support services.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does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current operations are conducted in China, and substantially all of our assets are located outside of the United States. All of our directors and executive officers are nationals or residents of jurisdictions other than the United States and all of their assets are located outside the United States. As a result, it may be difficult or impossible for a shareholder to effect service of process within the United States upon these individuals, or to bring an action against us or against these individuals in the United States, including judgments predicated upon the civil liability provisions of the securities laws of the United States or any state in the United States, in the event that you believe that your rights have been infringed under the securities laws of the United States or any state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Puglisi &amp; Associates, located at 850 Library Avenue, Suite 204, Newark, Delaware 19711, as our agent upon whom process may be served in any action brought against us under the securities laws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our counsel as to Cayman Islands law, has advised us that the courts of the Cayman Islands are unlikely (i) to recognize or enforce judgments of U.S. courts obtained against us or our directors or officers that are predicated upon the civil liability provisions of the federal securities laws of the United States or the securities laws of any state in the United States, and (ii) in original actions brought in the Cayman Islands to impose liabilities against us or our directors or officers that are predicated upon the federal securities laws of the United States or the securities laws of any state in the United States.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has informed us that 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judgement debtor a liability to pay a liquidated sum for which the judgement has been given, (iii) is final and conclusive, (iv) is not in respect of taxes, a fine or a penalty; (v) is not inconsistent with a Cayman Islands judgment in respect of the same matter, and (vi)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Han Kun Law Offices, our counsel as to certain PRC legal matters, there is uncertainty as to whether the courts of China would: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or enforce judgments of United States courts obtained against us or our directors or officers predicated upon the civil liability provisions of the securities laws of the United States or any state in the United States;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the opinion of Han Kun Law Offices, our counsel as to certain PRC legal matters,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our ordinary shares, to establish a connection to the PRC for a PRC court to have jurisdiction as required under the PRC Civil Procedures Law.</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q_006"/>
      <w:bookmarkEnd w:id="14"/>
      <w:r>
        <w:rPr>
          <w:rFonts w:ascii="Times New Roman;Times;Serif" w:hAnsi="Times New Roman;Times;Serif"/>
          <w:b/>
          <w:i w:val="false"/>
          <w:caps/>
          <w:sz w:val="20"/>
        </w:rPr>
        <w:t>TAXATION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any of the securities offered by this prospectus will be set forth in the applicable prospectus supplement(s) relating to the offering of those securities. Cayman Islands tax considerations are discussed under “Item 10. Additional Information—E. Taxation” in the 2025 Form 20-F, which is incorporated by reference into this prospectus, and, to the extent such discussion constitutes statements of Cayman Islands law, it is the opinion of Maples and Calder (Hong Kong) LLP. PRC tax considerations are also discussed under “Item 10. Additional Information—E. Taxation” in our 2025 Form 20-F, which is incorporated by reference into this prospectus, and, to the extent such discussion constitutes statements of PRC law, it is the opinion of Han Kun Law Offices.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q_007"/>
      <w:bookmarkEnd w:id="15"/>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distribute the securities described in this prospectus from time to time in one or more of the following ways: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 or 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“at-the-market offerings,” within the meaning of Rule 415(a)(4) of the Securities Act, to or through a market maker or into an existing trading market, on an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combination of any of these methods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other method permitted by applicable law and described in the applicable prospectus supplement.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with respect to the offered securities will describe the terms of the offering, including the following, if applicable:</w:t>
      </w:r>
    </w:p>
    <w:p>
      <w:pPr>
        <w:pStyle w:val="TextBody"/>
        <w:bidi w:val="0"/>
        <w:spacing w:before="0" w:after="0"/>
        <w:ind w:left="0" w:right="0" w:firstLine="72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such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or agency fees and other items constituting underwriters’ or agents’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exchanges on which the securities may be listed.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securities from time to time in one or more of the following ways:</w:t>
      </w:r>
    </w:p>
    <w:p>
      <w:pPr>
        <w:pStyle w:val="TextBody"/>
        <w:bidi w:val="0"/>
        <w:spacing w:before="0" w:after="0"/>
        <w:ind w:left="0" w:right="0" w:firstLine="72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fixed price or prices, which may be changed;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prices relating to prevailing market prices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varying prices determined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 consideration.</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designate agents who agree to use their reasonable efforts to solicit purchases for the period of their appointment or to sell securities on a continuing basis. Any agent involved will be named, and any commissions payable by us to such agent will be set forth,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Underwriters or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for the sale of securities, they will acquire securities for their own account, including through underwriting, purchase, security lending or repurchase agreements with us. The underwriters may resell the securities from time to time in one or more transactions, including negotiated transactions, at a fixed public offering price or at varying prices determined at the time of sale. Unless otherwise stated in the applicable prospectus supplement, various conditions will apply to the underwriters’ obligation to purchase securities,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 The underwriter or underwriters with respect to a particular underwritten offering of securities, or, if an underwriting syndicate is used, the managing underwriter or underwriters, will be set forth on the cover of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dealers in the sale, unless we otherwise indicate in the applicable prospectus supplement, we will sell securities to the dealers as principals. The dealers may then resell the securities to the public at varying prices that the dealers may determine at the time of resale.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securities directly without using agents, underwriters, or dealers.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in the ordinary course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sq_008"/>
      <w:bookmarkEnd w:id="16"/>
      <w:r>
        <w:rPr>
          <w:rFonts w:ascii="Times New Roman;Times;Serif" w:hAnsi="Times New Roman;Times;Serif"/>
          <w:b/>
          <w:i w:val="false"/>
          <w:caps/>
          <w:sz w:val="20"/>
        </w:rPr>
        <w:t>EXPENSES RELATED TO THE OFFERING</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an SEC registration fee of US$13,810, and will also incur printing costs, legal fees and expenses, accounting fees and expenses, and other listing and qualifications fees in connection with the offering of securities. Expenses of any of the securities offered by this prospectus will be set forth in the applicable prospectus supplement(s) relating to the offering of those securities.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sq_009"/>
      <w:bookmarkEnd w:id="17"/>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represented by Skadden, Arps, Slate, Meagher &amp; Flom LLP with respect to certain legal matters as to United States federal securities and New York State law. Maples and Calder (Hong Kong) LLP has advised us on certain legal matters as to Cayman Islands law including the issuance of the securities offered by this prospectus and Han Kun Law Offices has advised us on certain legal matters as to the law of mainland China.</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sq_010"/>
      <w:bookmarkEnd w:id="18"/>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from our annual report on Form 20-F for the year ended December 31, 2025, have been audited by WWC, P.C., an independent registered public accounting firm, incorporated by reference herein, and upon the authority of said firm as experts in accounting and auditing.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WWC, P.C. are located at 2010 Pioneer Court, San Mateo, CA 94403.</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sq_011"/>
      <w:bookmarkEnd w:id="19"/>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As a foreign private issuer, we are exempt from the rules under the Exchange Act prescribing the furnishing and content of quarterly reports and proxy statements, our officers and directors are exempt from the short-swing rules contained in Section 16 of the Exchange Act, and our principal shareholders are exempt from the reporting and short-swing rules contained in Section 16 of the Exchange Act. In addition, we are not required under the Exchange Act to file periodic reports and financial statements with the SEC as frequently or as promptly as U.S. companies whose securities are registered under the Exchange Act. You can also find information on our website </w:t>
      </w:r>
      <w:r>
        <w:rPr>
          <w:rFonts w:ascii="Times New Roman;Times;Serif" w:hAnsi="Times New Roman;Times;Serif"/>
          <w:b w:val="false"/>
          <w:i/>
          <w:caps w:val="false"/>
          <w:smallCaps w:val="false"/>
          <w:sz w:val="20"/>
        </w:rPr>
        <w:t>https://viomi.com/</w:t>
      </w:r>
      <w:r>
        <w:rPr>
          <w:rFonts w:ascii="Times New Roman;Times;Serif" w:hAnsi="Times New Roman;Times;Serif"/>
          <w:b w:val="false"/>
          <w:i w:val="false"/>
          <w:caps w:val="false"/>
          <w:smallCaps w:val="false"/>
          <w:sz w:val="20"/>
        </w:rPr>
        <w:t>. The information contained on our website is not a part of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sq_012"/>
      <w:bookmarkEnd w:id="20"/>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or between information incorporated by reference into this prospectus from different documents, you should rely on the information contained in the document that was filed later.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
        <w:gridCol w:w="203"/>
        <w:gridCol w:w="9894"/>
      </w:tblGrid>
      <w:tr>
        <w:trPr/>
        <w:tc>
          <w:tcPr>
            <w:tcW w:w="1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aps w:val="false"/>
                <w:smallCaps w:val="false"/>
              </w:rPr>
            </w:pPr>
            <w:r>
              <w:rPr>
                <w:caps w:val="false"/>
                <w:smallCaps w:val="false"/>
              </w:rPr>
              <w:t>●</w:t>
            </w:r>
          </w:p>
        </w:tc>
        <w:tc>
          <w:tcPr>
            <w:tcW w:w="9894"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filed with the SEC on April 22, 2026 (File No. 001-38649);</w:t>
            </w:r>
          </w:p>
        </w:tc>
      </w:tr>
      <w:tr>
        <w:trPr/>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0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894"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w:t>
            </w:r>
            <w:hyperlink r:id="rId4">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furnished to the SEC on July 1, 2026 and  August 27, 2026; </w:t>
            </w:r>
          </w:p>
        </w:tc>
      </w:tr>
      <w:tr>
        <w:trPr/>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aps w:val="false"/>
                <w:smallCaps w:val="false"/>
              </w:rPr>
            </w:pPr>
            <w:r>
              <w:rPr>
                <w:caps w:val="false"/>
                <w:smallCaps w:val="false"/>
              </w:rPr>
              <w:t>●</w:t>
            </w:r>
          </w:p>
        </w:tc>
        <w:tc>
          <w:tcPr>
            <w:tcW w:w="9894"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securities contained in our registration statement on </w:t>
            </w:r>
            <w:hyperlink r:id="rId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11, 2018, and any amendment or report filed for the purpose of updating such description;</w:t>
            </w:r>
          </w:p>
        </w:tc>
      </w:tr>
      <w:tr>
        <w:trPr/>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aps w:val="false"/>
                <w:smallCaps w:val="false"/>
              </w:rPr>
            </w:pPr>
            <w:r>
              <w:rPr>
                <w:caps w:val="false"/>
                <w:smallCaps w:val="false"/>
              </w:rPr>
              <w:t>●</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tc>
      </w:tr>
      <w:tr>
        <w:trPr/>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aps w:val="false"/>
                <w:smallCaps w:val="false"/>
              </w:rPr>
            </w:pPr>
            <w:r>
              <w:rPr>
                <w:caps w:val="false"/>
                <w:smallCaps w:val="false"/>
              </w:rPr>
              <w:t>●</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periodic reports on Form 6-K that we furnish to the SEC after the date of this prospectus that are identified in such reports as being incorporated by reference in this prospectus.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7 Licun Industrial Avenue, Lunjiao Subdistrict, Shunde District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Foshan, Guangdong, 528308 </w:t>
      </w:r>
    </w:p>
    <w:p>
      <w:pPr>
        <w:pStyle w:val="TextBody"/>
        <w:bidi w:val="0"/>
        <w:jc w:val="center"/>
        <w:rPr/>
      </w:pPr>
      <w:r>
        <w:rPr/>
        <w:t xml:space="preserve">People’s Republic of China </w:t>
      </w:r>
    </w:p>
    <w:p>
      <w:pPr>
        <w:pStyle w:val="TextBody"/>
        <w:bidi w:val="0"/>
        <w:spacing w:before="0" w:after="0"/>
        <w:ind w:left="0" w:right="0" w:hanging="0"/>
        <w:jc w:val="center"/>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ir@viomi.com</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second amended and restated articles of association, adopted by a special resolution passed on August 23, 2018 and effective on September 24, 2018, provides that the Registrant shall indemnify and secure its directors and officers from and against all actions, proceedings, costs, charges, expenses, losses, damages or liabilities incurred or sustained by the directors and officers, other than by reason of such person’s own dishonesty, willful default or fraud, in or about the conduct of the Registrant’s business or affairs (including as a result of any mistake of judgment) or in the execution or discharge of his duties, powers, authorities or discretions, including without prejudice to the generality of the foregoing, any costs, expenses, losses or liabilities incurred by such person in defending (whether successfully or otherwise) any civil proceedings concerning the Registrant or its affairs in any court whether in the Cayman Islands or elsewhere.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indemnification agreements, the form of which was filed as Exhibit 10.3 to the Registrant’s registration statement on Form F-1, as amended (File No. 333-227063), the Registrant has agreed to indemnify its directors and officers against certain liabilities and expenses incurred by such persons in connection with claims made by reason of their being such a director or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also maintains a directors and officers liability insurance policy for its directors and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Index to Exhibits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720" w:right="0" w:hanging="36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368" w:type="dxa"/>
        <w:jc w:val="left"/>
        <w:tblInd w:w="0" w:type="dxa"/>
        <w:tblLayout w:type="fixed"/>
        <w:tblCellMar>
          <w:top w:w="0" w:type="dxa"/>
          <w:left w:w="0" w:type="dxa"/>
          <w:bottom w:w="0" w:type="dxa"/>
          <w:right w:w="0" w:type="dxa"/>
        </w:tblCellMar>
      </w:tblPr>
      <w:tblGrid>
        <w:gridCol w:w="38"/>
        <w:gridCol w:w="245"/>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as amended, and will be governed by the final adjudication of such issue.</w:t>
            </w:r>
          </w:p>
        </w:tc>
      </w:tr>
    </w:tbl>
    <w:p>
      <w:pPr>
        <w:pStyle w:val="TextBody"/>
        <w:bidi w:val="0"/>
        <w:spacing w:before="0" w:after="0"/>
        <w:ind w:left="360" w:right="0" w:hanging="36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4"/>
        <w:gridCol w:w="9191"/>
      </w:tblGrid>
      <w:tr>
        <w:trPr/>
        <w:tc>
          <w:tcPr>
            <w:tcW w:w="1014"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9191"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191"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Second Amended and Restated Memorandum and Articles of Association of the Registrant, effective September 24, 2018 (incorporated herein by reference to Exhibit 3.2 to the Form F-1 filed on August 28, 2018 (File No. 333-227063))</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191"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Registrant’s Specimen American Depositary Receipt (included in Exhibit 4.3)</w:t>
              </w:r>
            </w:hyperlink>
            <w:r>
              <w:rPr>
                <w:rFonts w:ascii="Times New Roman;Times;Serif" w:hAnsi="Times New Roman;Times;Serif"/>
                <w:b w:val="false"/>
                <w:i w:val="false"/>
                <w:caps w:val="false"/>
                <w:smallCaps w:val="false"/>
                <w:sz w:val="20"/>
              </w:rPr>
              <w:t xml:space="preserve"> </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191"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4.2 to the Form F-1/A filed on September 11, 2018 (File No. 333-227063))</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191"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Deposit Agreement, among the Registrant, the depositary and holder of the American Depositary Receipts dated September 24, 2018 (incorporated herein by reference to Exhibit 4.3 to the Form S-8 filed on March 22, 2019 (File No. 333-230431))</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Specimen Certificate for Preferred Shares</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 (including Warrant Certificate)</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Subscription Right Agreement (including form of Right Certificate)</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 (including form of Unit Certificate)</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191"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Maples and Calder (Hong Kong) LLP</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191"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Maples and Calder (Hong Kong) LLP regarding certain Cayman Islands tax matters (included in Exhibit 5.1)</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191" w:type="dxa"/>
            <w:tcBorders/>
            <w:vAlign w:val="center"/>
          </w:tcPr>
          <w:p>
            <w:pPr>
              <w:pStyle w:val="TableContents"/>
              <w:bidi w:val="0"/>
              <w:spacing w:before="0" w:after="283"/>
              <w:jc w:val="both"/>
              <w:rPr/>
            </w:pPr>
            <w:hyperlink w:anchor="ex8-2.htm">
              <w:r>
                <w:rPr>
                  <w:rStyle w:val="InternetLink"/>
                  <w:rFonts w:ascii="Times New Roman;Times;Serif" w:hAnsi="Times New Roman;Times;Serif"/>
                  <w:b w:val="false"/>
                  <w:i w:val="false"/>
                  <w:caps w:val="false"/>
                  <w:smallCaps w:val="false"/>
                  <w:sz w:val="20"/>
                </w:rPr>
                <w:t>Opinion of Han Kun Law Offices regarding certain PRC tax matters</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191"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WWC, P.C., an independent registered public accounting firm</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191"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Maples and Calder (Hong Kong) LLP (included in Exhibit 5.1)</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191" w:type="dxa"/>
            <w:tcBorders/>
            <w:vAlign w:val="center"/>
          </w:tcPr>
          <w:p>
            <w:pPr>
              <w:pStyle w:val="TableContents"/>
              <w:bidi w:val="0"/>
              <w:spacing w:before="0" w:after="283"/>
              <w:jc w:val="both"/>
              <w:rPr/>
            </w:pPr>
            <w:hyperlink w:anchor="ex23-3.htm">
              <w:r>
                <w:rPr>
                  <w:rStyle w:val="InternetLink"/>
                  <w:rFonts w:ascii="Times New Roman;Times;Serif" w:hAnsi="Times New Roman;Times;Serif"/>
                  <w:b w:val="false"/>
                  <w:i w:val="false"/>
                  <w:caps w:val="false"/>
                  <w:smallCaps w:val="false"/>
                  <w:sz w:val="20"/>
                </w:rPr>
                <w:t>Consent of Han Kun Law Offices</w:t>
              </w:r>
            </w:hyperlink>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9191"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"https://www.sec.gov/Archives/edgar/data/1742770/000149315226032618/formf-3.htm" \l "POA_001"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 xml:space="preserve">Power of Attorney (included on signature page to the initial filing of this registration statement) </w:t>
            </w:r>
            <w:r>
              <w:rPr>
                <w:rStyle w:val="InternetLink"/>
                <w:smallCaps w:val="false"/>
                <w:caps w:val="false"/>
                <w:sz w:val="20"/>
                <w:i w:val="false"/>
                <w:b w:val="false"/>
                <w:rFonts w:ascii="Times New Roman;Times;Serif" w:hAnsi="Times New Roman;Times;Serif"/>
              </w:rPr>
              <w:fldChar w:fldCharType="end"/>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191"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 xml:space="preserve">Calculation of Filing Fee Table </w:t>
              </w:r>
            </w:hyperlink>
          </w:p>
        </w:tc>
      </w:tr>
    </w:tbl>
    <w:p>
      <w:pPr>
        <w:pStyle w:val="TextBody"/>
        <w:bidi w:val="0"/>
        <w:spacing w:before="0" w:after="0"/>
        <w:jc w:val="left"/>
        <w:rPr>
          <w:caps w:val="false"/>
          <w:smallCaps w:val="false"/>
        </w:rPr>
      </w:pPr>
      <w:r>
        <w:rPr>
          <w:caps w:val="false"/>
          <w:smallCaps w:val="false"/>
        </w:rPr>
        <w:t> </w:t>
      </w:r>
    </w:p>
    <w:p>
      <w:pPr>
        <w:pStyle w:val="TextBody"/>
        <w:bidi w:val="0"/>
        <w:ind w:left="360" w:right="0" w:hanging="0"/>
        <w:jc w:val="left"/>
        <w:rPr>
          <w:bdr w:val="single" w:sz="8" w:space="1" w:color="000000"/>
        </w:rPr>
      </w:pPr>
      <w:r>
        <w:rPr>
          <w:bdr w:val="single" w:sz="8" w:space="1" w:color="000000"/>
        </w:rPr>
        <w:t> </w:t>
      </w:r>
    </w:p>
    <w:tbl>
      <w:tblPr>
        <w:tblW w:w="9940" w:type="dxa"/>
        <w:jc w:val="left"/>
        <w:tblInd w:w="0" w:type="dxa"/>
        <w:tblLayout w:type="fixed"/>
        <w:tblCellMar>
          <w:top w:w="0" w:type="dxa"/>
          <w:left w:w="0" w:type="dxa"/>
          <w:bottom w:w="0" w:type="dxa"/>
          <w:right w:w="0" w:type="dxa"/>
        </w:tblCellMar>
      </w:tblPr>
      <w:tblGrid>
        <w:gridCol w:w="155"/>
        <w:gridCol w:w="9785"/>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by amendment or as an exhibit to a document to be incorporated by reference into this registration statement.</w:t>
            </w:r>
          </w:p>
        </w:tc>
      </w:tr>
      <w:tr>
        <w:trPr/>
        <w:tc>
          <w:tcPr>
            <w:tcW w:w="155"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pPr>
            <w:r>
              <w:rPr/>
              <w:t>†</w:t>
            </w:r>
          </w:p>
        </w:tc>
        <w:tc>
          <w:tcPr>
            <w:tcW w:w="9785" w:type="dxa"/>
            <w:tcBorders/>
            <w:vAlign w:val="center"/>
          </w:tcPr>
          <w:p>
            <w:pPr>
              <w:pStyle w:val="TableContents"/>
              <w:bidi w:val="0"/>
              <w:spacing w:before="0" w:after="283"/>
              <w:jc w:val="both"/>
              <w:rPr/>
            </w:pPr>
            <w:r>
              <w:rPr>
                <w:rFonts w:ascii="Times New Roman;Times;Serif" w:hAnsi="Times New Roman;Times;Serif"/>
                <w:sz w:val="20"/>
              </w:rPr>
              <w:t>Previously filed.</w:t>
            </w:r>
            <w:r>
              <w:rPr/>
              <w:t xml:space="preserve"> </w:t>
            </w:r>
          </w:p>
        </w:tc>
      </w:tr>
    </w:tbl>
    <w:p>
      <w:pPr>
        <w:pStyle w:val="TextBody"/>
        <w:bidi w:val="0"/>
        <w:spacing w:before="0" w:after="0"/>
        <w:ind w:left="36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Guangzhou, China, on September 8, 2026.</w:t>
      </w:r>
    </w:p>
    <w:p>
      <w:pPr>
        <w:pStyle w:val="TextBody"/>
        <w:bidi w:val="0"/>
        <w:spacing w:before="0" w:after="0"/>
        <w:ind w:left="0" w:right="0" w:firstLine="72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650"/>
        <w:gridCol w:w="6125"/>
      </w:tblGrid>
      <w:tr>
        <w:trPr/>
        <w:tc>
          <w:tcPr>
            <w:tcW w:w="75" w:type="dxa"/>
            <w:tcBorders/>
            <w:vAlign w:val="center"/>
          </w:tcPr>
          <w:p>
            <w:pPr>
              <w:pStyle w:val="TableContents"/>
              <w:bidi w:val="0"/>
              <w:spacing w:before="0" w:after="283"/>
              <w:jc w:val="both"/>
              <w:rPr/>
            </w:pPr>
            <w:r>
              <w:rPr/>
              <w:t> </w:t>
            </w:r>
          </w:p>
        </w:tc>
        <w:tc>
          <w:tcPr>
            <w:tcW w:w="67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Viomi Technology Co., Ltd</w:t>
            </w:r>
          </w:p>
        </w:tc>
      </w:tr>
      <w:tr>
        <w:trPr/>
        <w:tc>
          <w:tcPr>
            <w:tcW w:w="75" w:type="dxa"/>
            <w:tcBorders/>
            <w:vAlign w:val="center"/>
          </w:tcPr>
          <w:p>
            <w:pPr>
              <w:pStyle w:val="TableContents"/>
              <w:bidi w:val="0"/>
              <w:spacing w:before="0" w:after="283"/>
              <w:jc w:val="both"/>
              <w:rPr/>
            </w:pPr>
            <w:r>
              <w:rPr/>
              <w:t> </w:t>
            </w:r>
          </w:p>
        </w:tc>
        <w:tc>
          <w:tcPr>
            <w:tcW w:w="67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/s/ Xiaoping Chen</w:t>
            </w:r>
          </w:p>
        </w:tc>
      </w:tr>
      <w:tr>
        <w:trPr/>
        <w:tc>
          <w:tcPr>
            <w:tcW w:w="7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6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Xiaoping Chen</w:t>
            </w:r>
          </w:p>
        </w:tc>
      </w:tr>
      <w:tr>
        <w:trPr/>
        <w:tc>
          <w:tcPr>
            <w:tcW w:w="7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6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Chairman of the Board of Directors and Chief Executive Officer</w:t>
            </w:r>
          </w:p>
        </w:tc>
      </w:tr>
    </w:tbl>
    <w:p>
      <w:pPr>
        <w:pStyle w:val="TextBody"/>
        <w:bidi w:val="0"/>
        <w:spacing w:before="0" w:after="0"/>
        <w:ind w:left="0" w:right="0" w:firstLine="72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1" w:name="POA_001"/>
      <w:bookmarkEnd w:id="21"/>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jc w:val="center"/>
        <w:rPr>
          <w:caps w:val="false"/>
          <w:smallCaps w:val="false"/>
        </w:rPr>
      </w:pPr>
      <w:r>
        <w:rPr>
          <w:caps w:val="false"/>
          <w:smallCaps w:val="false"/>
        </w:rPr>
        <w:t> </w:t>
      </w:r>
    </w:p>
    <w:tbl>
      <w:tblPr>
        <w:tblW w:w="8220" w:type="dxa"/>
        <w:jc w:val="left"/>
        <w:tblInd w:w="0" w:type="dxa"/>
        <w:tblLayout w:type="fixed"/>
        <w:tblCellMar>
          <w:top w:w="0" w:type="dxa"/>
          <w:left w:w="0" w:type="dxa"/>
          <w:bottom w:w="0" w:type="dxa"/>
          <w:right w:w="0" w:type="dxa"/>
        </w:tblCellMar>
      </w:tblPr>
      <w:tblGrid>
        <w:gridCol w:w="1520"/>
        <w:gridCol w:w="60"/>
        <w:gridCol w:w="5030"/>
        <w:gridCol w:w="60"/>
        <w:gridCol w:w="1550"/>
      </w:tblGrid>
      <w:tr>
        <w:trPr/>
        <w:tc>
          <w:tcPr>
            <w:tcW w:w="152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CAPACITY</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Xiaoping Chen</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Xiaoping Chen</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 and Principal Financial Officer)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Qian Sun</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Jinling Zhang</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Weijiang Wu</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 Li</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790" w:type="dxa"/>
        <w:jc w:val="left"/>
        <w:tblInd w:w="0" w:type="dxa"/>
        <w:tblLayout w:type="fixed"/>
        <w:tblCellMar>
          <w:top w:w="0" w:type="dxa"/>
          <w:left w:w="0" w:type="dxa"/>
          <w:bottom w:w="0" w:type="dxa"/>
          <w:right w:w="0" w:type="dxa"/>
        </w:tblCellMar>
      </w:tblPr>
      <w:tblGrid>
        <w:gridCol w:w="215"/>
        <w:gridCol w:w="710"/>
        <w:gridCol w:w="1790"/>
        <w:gridCol w:w="75"/>
      </w:tblGrid>
      <w:tr>
        <w:trPr/>
        <w:tc>
          <w:tcPr>
            <w:tcW w:w="215" w:type="dxa"/>
            <w:tcBorders/>
            <w:vAlign w:val="center"/>
          </w:tcPr>
          <w:p>
            <w:pPr>
              <w:pStyle w:val="TableContents"/>
              <w:bidi w:val="0"/>
              <w:spacing w:before="0" w:after="283"/>
              <w:jc w:val="left"/>
              <w:rPr/>
            </w:pPr>
            <w:r>
              <w:rPr/>
              <w:t xml:space="preserve">* </w:t>
            </w:r>
          </w:p>
        </w:tc>
        <w:tc>
          <w:tcPr>
            <w:tcW w:w="710" w:type="dxa"/>
            <w:tcBorders/>
            <w:vAlign w:val="center"/>
          </w:tcPr>
          <w:p>
            <w:pPr>
              <w:pStyle w:val="TableContents"/>
              <w:bidi w:val="0"/>
              <w:spacing w:before="0" w:after="283"/>
              <w:jc w:val="left"/>
              <w:rPr/>
            </w:pPr>
            <w:r>
              <w:rPr/>
              <w:t xml:space="preserve">By: </w:t>
            </w:r>
          </w:p>
        </w:tc>
        <w:tc>
          <w:tcPr>
            <w:tcW w:w="1790" w:type="dxa"/>
            <w:tcBorders>
              <w:bottom w:val="single" w:sz="8" w:space="0" w:color="000000"/>
            </w:tcBorders>
            <w:tcMar>
              <w:bottom w:w="28" w:type="dxa"/>
            </w:tcMar>
            <w:vAlign w:val="center"/>
          </w:tcPr>
          <w:p>
            <w:pPr>
              <w:pStyle w:val="TableContents"/>
              <w:bidi w:val="0"/>
              <w:spacing w:before="0" w:after="283"/>
              <w:jc w:val="left"/>
              <w:rPr/>
            </w:pPr>
            <w:r>
              <w:rPr>
                <w:i/>
              </w:rPr>
              <w:t>/s/ Xiaoping Chen</w:t>
            </w:r>
            <w:r>
              <w:rPr/>
              <w:t xml:space="preserve">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1790" w:type="dxa"/>
            <w:tcBorders/>
            <w:vAlign w:val="center"/>
          </w:tcPr>
          <w:p>
            <w:pPr>
              <w:pStyle w:val="TableContents"/>
              <w:bidi w:val="0"/>
              <w:spacing w:before="0" w:after="283"/>
              <w:jc w:val="left"/>
              <w:rPr/>
            </w:pPr>
            <w:r>
              <w:rPr/>
              <w:t xml:space="preserve">Xiaoping Chen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xml:space="preserve">Attorney-in-fact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OF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Viomi Technology Co., Ltd has signed this registration statement or amendment thereto in Newark, Delaware on September 8, 2026.</w:t>
      </w:r>
    </w:p>
    <w:p>
      <w:pPr>
        <w:pStyle w:val="TextBody"/>
        <w:bidi w:val="0"/>
        <w:spacing w:before="0" w:after="0"/>
        <w:ind w:left="0" w:right="0" w:firstLine="72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650"/>
        <w:gridCol w:w="1970"/>
      </w:tblGrid>
      <w:tr>
        <w:trPr/>
        <w:tc>
          <w:tcPr>
            <w:tcW w:w="75" w:type="dxa"/>
            <w:tcBorders/>
            <w:vAlign w:val="center"/>
          </w:tcPr>
          <w:p>
            <w:pPr>
              <w:pStyle w:val="TableContents"/>
              <w:bidi w:val="0"/>
              <w:spacing w:before="0" w:after="283"/>
              <w:jc w:val="left"/>
              <w:rPr/>
            </w:pPr>
            <w:r>
              <w:rPr/>
              <w:t> </w:t>
            </w:r>
          </w:p>
        </w:tc>
        <w:tc>
          <w:tcPr>
            <w:tcW w:w="26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U.S. Representative</w:t>
            </w:r>
          </w:p>
        </w:tc>
      </w:tr>
      <w:tr>
        <w:trPr/>
        <w:tc>
          <w:tcPr>
            <w:tcW w:w="75" w:type="dxa"/>
            <w:tcBorders/>
            <w:vAlign w:val="center"/>
          </w:tcPr>
          <w:p>
            <w:pPr>
              <w:pStyle w:val="TableContents"/>
              <w:bidi w:val="0"/>
              <w:spacing w:before="0" w:after="283"/>
              <w:jc w:val="left"/>
              <w:rPr/>
            </w:pPr>
            <w:r>
              <w:rPr/>
              <w:t> </w:t>
            </w:r>
          </w:p>
        </w:tc>
        <w:tc>
          <w:tcPr>
            <w:tcW w:w="26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2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Puglisi &amp; Associates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/s/ Donald J. Puglisi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Donald J. Puglisi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Managing Director</w:t>
            </w:r>
          </w:p>
        </w:tc>
      </w:tr>
    </w:tbl>
    <w:p>
      <w:pPr>
        <w:pStyle w:val="TextBody"/>
        <w:bidi w:val="0"/>
        <w:spacing w:before="0" w:after="0"/>
        <w:ind w:left="5040" w:right="0" w:hanging="0"/>
        <w:jc w:val="left"/>
        <w:rPr>
          <w:rFonts w:ascii="Times New Roman;Times;Serif" w:hAnsi="Times New Roman;Times;Serif"/>
          <w:b/>
        </w:rPr>
      </w:pPr>
      <w:r>
        <w:rPr>
          <w:rFonts w:ascii="Times New Roman;Times;Serif" w:hAnsi="Times New Roman;Times;Serif"/>
          <w:b/>
        </w:rPr>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ex5-1.htm"/>
      <w:bookmarkStart w:id="23" w:name="ksex5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14400"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914400" cy="866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50"/>
        <w:gridCol w:w="287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Our ref</w:t>
            </w:r>
          </w:p>
        </w:tc>
        <w:tc>
          <w:tcPr>
            <w:tcW w:w="2870"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VSL/743327-000003/86911523v3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7 Licun Industrial Avenue,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Lunjiao Subdistrict, Shunde District,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Foshan, Guangdong, 528308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September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Viomi Technology Co.,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United States Securities Act of 1933, as amended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relating to securities to be issued and sold by the Company, on a delayed or continuous basis, from time to time in one or more offerings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US$100 million of any combination, together or separately, of the following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of the Company of par value of US$0.00001 each, including in the form of American depositary shares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w:t>
            </w:r>
          </w:p>
        </w:tc>
      </w:tr>
    </w:tbl>
    <w:p>
      <w:pPr>
        <w:pStyle w:val="TextBody"/>
        <w:bidi w:val="0"/>
        <w:spacing w:before="0" w:after="0"/>
        <w:ind w:left="567" w:right="0" w:hanging="567"/>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200"/>
        <w:gridCol w:w="809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preferred shares of the Company of par value of US$0.00001 each (the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the Class A Ordinary Shares, the Preferred Shares, or any combination of these securities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to be issued under warrant agreements to be entered into by the Company and warrant agents, if any, for such Warrants thereunder (the “</w:t>
            </w:r>
            <w:r>
              <w:rPr>
                <w:rFonts w:ascii="Times New Roman;Times;Serif" w:hAnsi="Times New Roman;Times;Serif"/>
                <w:b/>
                <w:i w:val="false"/>
                <w:caps w:val="false"/>
                <w:smallCaps w:val="false"/>
                <w:sz w:val="20"/>
              </w:rPr>
              <w:t>Warrant Agreements</w:t>
            </w:r>
            <w:r>
              <w:rPr>
                <w:rFonts w:ascii="Times New Roman;Times;Serif" w:hAnsi="Times New Roman;Times;Serif"/>
                <w:b w:val="false"/>
                <w:i w:val="false"/>
                <w:caps w:val="false"/>
                <w:smallCaps w:val="false"/>
                <w:sz w:val="20"/>
              </w:rPr>
              <w:t>”);</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to purchase the Class A Ordinary Shares, the Preferred Shares, or other securities (the “</w:t>
            </w:r>
            <w:r>
              <w:rPr>
                <w:rFonts w:ascii="Times New Roman;Times;Serif" w:hAnsi="Times New Roman;Times;Serif"/>
                <w:b/>
                <w:i w:val="false"/>
                <w:caps w:val="false"/>
                <w:smallCaps w:val="false"/>
                <w:sz w:val="20"/>
              </w:rPr>
              <w:t>Subscription Rights</w:t>
            </w:r>
            <w:r>
              <w:rPr>
                <w:rFonts w:ascii="Times New Roman;Times;Serif" w:hAnsi="Times New Roman;Times;Serif"/>
                <w:b w:val="false"/>
                <w:i w:val="false"/>
                <w:caps w:val="false"/>
                <w:smallCaps w:val="false"/>
                <w:sz w:val="20"/>
              </w:rPr>
              <w:t>”) to be issued under standby underwriting agreements to be entered into among the Company and one or more underwriters, if any, or rights agreements to be entered into among the Company and a rights agent, if any, for such Subscription Rights thereunder (the “</w:t>
            </w:r>
            <w:r>
              <w:rPr>
                <w:rFonts w:ascii="Times New Roman;Times;Serif" w:hAnsi="Times New Roman;Times;Serif"/>
                <w:b/>
                <w:i w:val="false"/>
                <w:caps w:val="false"/>
                <w:smallCaps w:val="false"/>
                <w:sz w:val="20"/>
              </w:rPr>
              <w:t>Subscription Rights Agreements</w:t>
            </w:r>
            <w:r>
              <w:rPr>
                <w:rFonts w:ascii="Times New Roman;Times;Serif" w:hAnsi="Times New Roman;Times;Serif"/>
                <w:b w:val="false"/>
                <w:i w:val="false"/>
                <w:caps w:val="false"/>
                <w:smallCaps w:val="false"/>
                <w:sz w:val="20"/>
              </w:rPr>
              <w:t>”);</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comprising of one or more of the Company’s securities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to be issued under unit agreements to be entered into between the Company and the unitholder for such Units thereunder (the “</w:t>
            </w:r>
            <w:r>
              <w:rPr>
                <w:rFonts w:ascii="Times New Roman;Times;Serif" w:hAnsi="Times New Roman;Times;Serif"/>
                <w:b/>
                <w:i w:val="false"/>
                <w:caps w:val="false"/>
                <w:smallCaps w:val="false"/>
                <w:sz w:val="20"/>
              </w:rPr>
              <w:t>Unit Agreements</w:t>
            </w:r>
            <w:r>
              <w:rPr>
                <w:rFonts w:ascii="Times New Roman;Times;Serif" w:hAnsi="Times New Roman;Times;Serif"/>
                <w:b w:val="false"/>
                <w:i w:val="false"/>
                <w:caps w:val="false"/>
                <w:smallCaps w:val="false"/>
                <w:sz w:val="20"/>
              </w:rPr>
              <w:t>”).</w:t>
            </w:r>
          </w:p>
        </w:tc>
      </w:tr>
    </w:tbl>
    <w:p>
      <w:pPr>
        <w:pStyle w:val="TextBody"/>
        <w:bidi w:val="0"/>
        <w:spacing w:before="0" w:after="0"/>
        <w:ind w:left="567" w:right="0" w:hanging="56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8.1 and 23.2 to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40"/>
        <w:gridCol w:w="182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Reviewed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of the Company dated 21 January 2015 issued by the Registrar of Companies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amended and restated memorandum and articles of association adopted pursuant to a special resolution passed on 23 August 2018 and effective immediately prior to the completion of the initial public offering of the Company’s American depositary shares representing its Class A Ordinary Shares (the “</w:t>
            </w:r>
            <w:r>
              <w:rPr>
                <w:rFonts w:ascii="Times New Roman;Times;Serif" w:hAnsi="Times New Roman;Times;Serif"/>
                <w:b/>
                <w:i w:val="false"/>
                <w:caps w:val="false"/>
                <w:smallCaps w:val="false"/>
                <w:sz w:val="20"/>
              </w:rPr>
              <w:t>Memorandum and Articles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unanimous written resolutions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dated 9 July 2026 (the “</w:t>
            </w:r>
            <w:r>
              <w:rPr>
                <w:rFonts w:ascii="Times New Roman;Times;Serif" w:hAnsi="Times New Roman;Times;Serif"/>
                <w:b/>
                <w:i w:val="false"/>
                <w:caps w:val="false"/>
                <w:smallCaps w:val="false"/>
                <w:sz w:val="20"/>
              </w:rPr>
              <w:t>Board Resolutions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of good standing with respect to the Company issued by the Registrar of Companies dated 24 June 2026 (the “</w:t>
            </w:r>
            <w:r>
              <w:rPr>
                <w:rFonts w:ascii="Times New Roman;Times;Serif" w:hAnsi="Times New Roman;Times;Serif"/>
                <w:b/>
                <w:i w:val="false"/>
                <w:caps w:val="false"/>
                <w:smallCaps w:val="false"/>
                <w:sz w:val="20"/>
              </w:rPr>
              <w:t>Certificate of Good Standing</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from a director of the Company a copy of which is attached to this opinion letter (the “</w:t>
            </w:r>
            <w:r>
              <w:rPr>
                <w:rFonts w:ascii="Times New Roman;Times;Serif" w:hAnsi="Times New Roman;Times;Serif"/>
                <w:b/>
                <w:i w:val="false"/>
                <w:caps w:val="false"/>
                <w:smallCaps w:val="false"/>
                <w:sz w:val="20"/>
              </w:rPr>
              <w:t>Director’s Certificate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90"/>
        <w:gridCol w:w="23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documents, conformed copies or drafts of documents provided to us are true and complete copies of, or in the final forms of, the originals.</w:t>
            </w:r>
          </w:p>
        </w:tc>
      </w:tr>
    </w:tbl>
    <w:p>
      <w:pPr>
        <w:pStyle w:val="TextBody"/>
        <w:bidi w:val="0"/>
        <w:spacing w:before="0" w:after="0"/>
        <w:ind w:left="720" w:right="0" w:hanging="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90"/>
        <w:gridCol w:w="36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initials and seals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contractual or other prohibition or restriction (other than as arising under Cayman Islands law) binding on the Company prohibiting or restricting it from offering, selling or issuing the Securities, entering into and performing its obligations under the Registration Statement and duly authorised, executed and delivered Securities Documents (as defined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sufficient Class A Ordinary Shares and Preferred Shares, as the case may be, authorised for issue under the Memorandum and Articles at the time of issuance of the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and the Warrant Agreements, the Subscription Rights and the Subscription Rights Agreements, and the Units and the Unit Agreements (together, the “</w:t>
            </w:r>
            <w:r>
              <w:rPr>
                <w:rFonts w:ascii="Times New Roman;Times;Serif" w:hAnsi="Times New Roman;Times;Serif"/>
                <w:b/>
                <w:i w:val="false"/>
                <w:caps w:val="false"/>
                <w:smallCaps w:val="false"/>
                <w:sz w:val="20"/>
              </w:rPr>
              <w:t>Securities Documents</w:t>
            </w:r>
            <w:r>
              <w:rPr>
                <w:rFonts w:ascii="Times New Roman;Times;Serif" w:hAnsi="Times New Roman;Times;Serif"/>
                <w:b w:val="false"/>
                <w:i w:val="false"/>
                <w:caps w:val="false"/>
                <w:smallCaps w:val="false"/>
                <w:sz w:val="20"/>
              </w:rPr>
              <w:t>”) will be authorised and duly executed and unconditionally delivered by or on behalf of all relevant parties in accordance with all relevant laws.</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Documents are, or will be, legal, valid, binding and enforceable against all relevant parties in accordance with their terms under the laws of the State of New York and all other relevant laws (other than, with respect to the Company,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the laws of the State of New York as the governing law of the Securities Documents,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Securities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the Subscription Rights and the Units will respectively be issued and authenticated as required in accordance with the provisions of a duly authorised, executed and delivered Warrant Agreements, Subscription Rights Agreements and Unit Agreements.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Documents will be, or have been, duly executed and delivered by an authorised person of the parties thereto.</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monies paid to or for the account of any party under the Securities Documents or any property received or disposed of by any party to the Securities Documents in each case in connection with the Securities Documents or the consummation of the transactions contemplated thereby represent or will represent proceeds of criminal conduct or criminal property or terrorist property (as defined in the Proceeds of Crime Act (As Revised) and the Terrorism Act (As Revised), respectively).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nothing contained in the minute book or corporate records of the Company (which, other than the records set out in paragraphs 1.1 to 1.4 of the opinion letter, we have not inspected) which would or might affect the opinions set out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nothing under any law (other than the law of the Cayman Islands) which would or might affect the opinions set out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sale, and issue of Securities under and pursuant to the Registration Statement will be of commercial benefit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invitation has been or will be made by or on behalf of the Company to the public in the Cayman Islands to subscribe for any of the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receive money or money’s worth in consideration for the issue of the Class A Ordinary Shares and the Preferred Shares, and none of the Class A Ordinary Shares or the Preferred Shares will be issued for less than their par value.</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140"/>
        <w:gridCol w:w="72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authorised share capital of the Company is US$50,000 consisting of 5,000,000,000 shares of a par value of US$0.00001 each, consisting of 4,800,000,000 Class A Ordinary Shares, 150,000,000 Class B Ordinary Shares and 50,000,000 shares of a par value of US$0.00001 each of such class or classes (however designated) as the board of directors may determine in accordance with the Memorandum and Articles.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Class A Ordinary Shares and the Preferred Shares, when (i) the Board has taken all necessary corporate action to approve the issue thereof, the terms of the offering thereof and related matters; (ii) the issue of such Class A Ordinary Shares or Preferred Shares has been recorded in the Company’s register of members (shareholders); and (iii) the subscription price of such Class A Ordinary Shares or Preferred Shares, (being not less than the par value of the Class A Ordinary Shares or Preferred Shares, as the case may be) has been fully paid in cash or other consideration approved by the Board, the Class A Ordinary Shares or Preferred Shares will be duly authorised, validly issued, fully paid and non-assessable.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issue of Warrants, when (i) the Board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warrant agent thereunder; and (iii) the certificates representing the Warrants have been duly executed, countersigned, registered and delivered in accordance with the Warrant Agreements relating to the Warrants and the applicable definitive purchase, underwriting or similar agreement approved by the Board upon payment of the consideration therefor provided therein, the Warrants will be duly authorised, executed, issued and delivered, and constitute legal and binding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issue of the Subscription Rights, when (i) the Board has taken all necessary corporate action to approve the creation and terms of the Subscription Rights and to approve the issue thereof, the terms of the offering thereof and related matters; (ii) a Subscription Rights Agreement relating to the Subscription Rights and the Subscription Rights shall have been authorised and duly executed and delivered by and on behalf of the Company and all the relevant parties thereunder in accordance with all relevant laws; and (iii) the certificates representing the Subscription Rights have been duly executed, countersigned, registered and delivered in accordance with the Subscription Rights Agreements relating to the Subscription Rights and the applicable definitive purchase, underwriting or similar agreement approved by the Board upon payment of the consideration therefor provided therein, the Subscription Rights will be duly authorised, legal and binding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issue of the Units, when (i) the Board has taken all necessary corporate action to approve the creation and terms of the Units and to approve the issue thereof, the terms of the offering thereof and related matters; (ii) a Unit Agreement relating to the Units and the Units shall have been authorised and duly executed and delivered by and on behalf of the Company and all the relevant parties thereunder in accordance with all relevant laws; and (iii) when such Units issued thereunder have been duly executed and delivered on behalf of the Company and authenticated in the manner set forth in the Unit Agreements relating to such issue of Units and delivered against due payment therefor pursuant to, and in accordance with, the terms of the Registration Statement and any relevant prospectus supplement, such Units issued pursuant to the Unit Agreements will be duly executed, issued and delivered, and constitute legal and binding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under the caption “Enforcement of Civil Liabilities” and “Taxation” in the prospectus forming part of the Registration Statement are accurate in so far as such statements are summaries of or relate to Cayman Islands law, and such statements constitute our opinion.</w:t>
            </w:r>
          </w:p>
        </w:tc>
      </w:tr>
    </w:tbl>
    <w:p>
      <w:pPr>
        <w:pStyle w:val="TextBody"/>
        <w:bidi w:val="0"/>
        <w:spacing w:before="0" w:after="0"/>
        <w:ind w:left="720" w:right="0" w:hanging="72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Company in good standing with the Registrar of Companies under the laws of the Cayman Islands, annual filing fees must be paid and returns made to the Registrar of Companies within the time frame prescribed by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assumed by the Company under the Warrant Agreements, the Subscription Rights Agreements and the Units Agreements will not necessarily be enforceable in all circumstances in accordance with their terms. In particular: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may be limited by bankruptcy, insolvency, liquidation, reorganisation, readjustment of debts or moratorium or other laws of general application relating to, protecting or affecting the rights of creditors and/or contributories;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enforcement may be limited by general principles of equity. For example, equitable remedies such as specific performance may not be available,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where damages are considered to be an adequate remedy;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claims may become barred under relevant statutes of limitation or may be or become subject to defences of set off, counterclaim, estoppel and similar defences;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obligations are to be performed in a jurisdiction outside the Cayman Islands, they may not be enforceable in the Cayman Islands to the extent that performance would be illegal under the laws of that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20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that constitute penalties will not be enforceable;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may be prevented by reason of fraud, coercion, duress, undue influence, misrepresentation, public policy or mistake or limited by the doctrine of frustration of contracts;</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imposing confidentiality obligations may be overridden by compulsion of applicable law or the requirements of legal and/or regulatory process;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may decline to exercise jurisdiction in relation to substantive proceedings brought in matters where they determine that such proceedings may be tried in a more appropriate forum;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our opinion as to the enforceability of the relevant provisions of the documents to the extent that they purport to grant exclusive jurisdiction as there may be circumstances in which the courts of the Cayman Islands would accept jurisdiction notwithstanding such provisions;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cannot, by agreement or in its articles of association, restrict the exercise of a statutory power and there is doubt as to the enforceability of any provision in Warrant Agreements, the Subscription Rights Agreements and the Unit Agreements whereby the Company covenants to restrict the exercise of powers specifically given to it under the Companies Act (As Revised) of the Cayman Islands (the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including, without limitation, the power to increase its authorised share capital, amend its memorandum and articles of association or present a petition to a Cayman Islands court for an order to wind up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or performance of any provision in the documents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(the “</w:t>
            </w:r>
            <w:r>
              <w:rPr>
                <w:rFonts w:ascii="Times New Roman;Times;Serif" w:hAnsi="Times New Roman;Times;Serif"/>
                <w:b/>
                <w:i w:val="false"/>
                <w:caps w:val="false"/>
                <w:smallCaps w:val="false"/>
                <w:sz w:val="20"/>
              </w:rPr>
              <w:t>BOT Act</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meaning, validity or effect of any references to foreign (i.e. non-Cayman Islands) statutes, rules, regulations, codes, judicial authority or any other promulgations and any references to them in the Securities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90"/>
        <w:gridCol w:w="9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reviewed the final form of any of the Securities Documents, and our opinions are qualified accordingly.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our opinion as to the extent to which the courts of the Cayman Islands would, in the event of any relevant illegality or invalidity, sever the relevant provisions of the Securities Documents and enforce the remainder or the transaction of which such provisions form a part, notwithstanding any express provisions in this regard.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register of members of a Cayman Islands company is by statute regarded as prima facie evidence of any matters which the Companies Act directs or authorises to be inserted in it.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view as to the commercial terms of the Securities Documents or whether such terms represent the intentions of the parties and make no comment with regard to warranties or representations that may be made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in this opinion letter are strictly limited to the matters contained in the opinions section above and do not extend to any other matters. We have not been asked to review and we therefore have not reviewed any of the ancillary documents relating to the Securities Documents and express no opinion or observation upon the terms of any such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Maples and Calder (Hong Kong)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ex8-2.htm"/>
      <w:bookmarkStart w:id="25" w:name="ksex82"/>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8.2</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0" w:type="dxa"/>
          <w:right w:w="0" w:type="dxa"/>
        </w:tblCellMar>
      </w:tblPr>
      <w:tblGrid>
        <w:gridCol w:w="7500"/>
        <w:gridCol w:w="1635"/>
      </w:tblGrid>
      <w:tr>
        <w:trPr/>
        <w:tc>
          <w:tcPr>
            <w:tcW w:w="7500" w:type="dxa"/>
            <w:tcBorders/>
            <w:vAlign w:val="center"/>
          </w:tcPr>
          <w:p>
            <w:pPr>
              <w:pStyle w:val="TableContents"/>
              <w:bidi w:val="0"/>
              <w:spacing w:before="0" w:after="283"/>
              <w:jc w:val="left"/>
              <w:rPr/>
            </w:pPr>
            <w:r>
              <w:rPr/>
              <w:drawing>
                <wp:inline distT="0" distB="0" distL="0" distR="0">
                  <wp:extent cx="4752975"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4752975" cy="438150"/>
                          </a:xfrm>
                          <a:prstGeom prst="rect">
                            <a:avLst/>
                          </a:prstGeom>
                        </pic:spPr>
                      </pic:pic>
                    </a:graphicData>
                  </a:graphic>
                </wp:inline>
              </w:drawing>
            </w:r>
          </w:p>
        </w:tc>
        <w:tc>
          <w:tcPr>
            <w:tcW w:w="1635" w:type="dxa"/>
            <w:tcBorders/>
            <w:vAlign w:val="center"/>
          </w:tcPr>
          <w:p>
            <w:pPr>
              <w:pStyle w:val="TableContents"/>
              <w:bidi w:val="0"/>
              <w:spacing w:before="0" w:after="283"/>
              <w:jc w:val="right"/>
              <w:rPr/>
            </w:pPr>
            <w:r>
              <w:rPr/>
              <w:drawing>
                <wp:inline distT="0" distB="0" distL="0" distR="0">
                  <wp:extent cx="102870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028700" cy="3429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335"/>
        <w:gridCol w:w="3545"/>
      </w:tblGrid>
      <w:tr>
        <w:trPr/>
        <w:tc>
          <w:tcPr>
            <w:tcW w:w="3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3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Viomi Technology Co., Ltd</w:t>
            </w:r>
          </w:p>
        </w:tc>
      </w:tr>
      <w:tr>
        <w:trPr/>
        <w:tc>
          <w:tcPr>
            <w:tcW w:w="33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xml:space="preserve">No. 7 Licun Industrial Avenue, </w:t>
            </w:r>
          </w:p>
        </w:tc>
      </w:tr>
      <w:tr>
        <w:trPr/>
        <w:tc>
          <w:tcPr>
            <w:tcW w:w="33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xml:space="preserve">Lunjiao Subdistrict, Shunde District, </w:t>
            </w:r>
          </w:p>
        </w:tc>
      </w:tr>
      <w:tr>
        <w:trPr/>
        <w:tc>
          <w:tcPr>
            <w:tcW w:w="33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xml:space="preserve">Foshan, Guangdong, 528308 </w:t>
            </w:r>
          </w:p>
        </w:tc>
      </w:tr>
      <w:tr>
        <w:trPr/>
        <w:tc>
          <w:tcPr>
            <w:tcW w:w="33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People’s Republic of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Sirs or Madams,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lawyers qualified to practice in the People’s Republic of China (the “</w:t>
      </w:r>
      <w:r>
        <w:rPr>
          <w:rFonts w:ascii="Times New Roman;Times;Serif" w:hAnsi="Times New Roman;Times;Serif"/>
          <w:b w:val="false"/>
          <w:i w:val="false"/>
          <w:caps w:val="false"/>
          <w:smallCaps w:val="false"/>
          <w:sz w:val="20"/>
          <w:u w:val="single"/>
        </w:rPr>
        <w:t>PRC</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China</w:t>
      </w:r>
      <w:r>
        <w:rPr>
          <w:rFonts w:ascii="Times New Roman;Times;Serif" w:hAnsi="Times New Roman;Times;Serif"/>
          <w:b w:val="false"/>
          <w:i w:val="false"/>
          <w:caps w:val="false"/>
          <w:smallCaps w:val="false"/>
          <w:sz w:val="20"/>
        </w:rPr>
        <w:t>”, which, for the purposes of this opinion only, does not include the Hong Kong Special Administrative Region, the Macau Special Administrative Region and Taiwan Region) and as such are qualified to issue this opinion on the PRC Laws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PRC legal counsel to Viomi Technology Co.,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 company incorporated under the laws of the Cayman Islands, in connection with the Company’s registration statement on Form F-3 (including all amendments or supplements thereto,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by the Company with the Securities and Exchange Commission under the U.S. Securities Act of 1933 (as amended), in relation to the proposed offering of the Company’s Class A ordinary shares, par value $0.00001 per share, including in the form of American depositary shares, preferred shares, warrants to purchase Class A ordinary shares and preferred shares, subscription rights and a ‎combination of such securities, separately or as units.</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15"/>
        <w:gridCol w:w="24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4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and Assumptions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examined copies of the Registration Statement and other documents (collectively the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as we have considered necessary or advisable for the purposes of rendering this opinion. Where certain facts were not independently established and verified by us, we have relied upon appropriate representatives of the Company and the PRC Companies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made the following assumptions (the “</w:t>
      </w:r>
      <w:r>
        <w:rPr>
          <w:rFonts w:ascii="Times New Roman;Times;Serif" w:hAnsi="Times New Roman;Times;Serif"/>
          <w:b w:val="false"/>
          <w:i w:val="false"/>
          <w:caps w:val="false"/>
          <w:smallCaps w:val="false"/>
          <w:sz w:val="20"/>
          <w:u w:val="single"/>
        </w:rPr>
        <w:t>Assumptions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seals and chops on the Documents are genuine, and each signature on behalf of a party thereto is that of a person duly authorized by such party to execute the same, and all Documents submitted to us as originals are authentic, and all Documents submitted to us as copies conform to the originals;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to the Documents, (i) if a legal person or other entity, is duly organized and is validly existing in good standing under the laws of its jurisdiction of organization and/or incorporation, and (ii) if an individual, has full capacity for civil conduct, and has full power and authority to execute, deliver and perform its, her or his obligations under the Documents to which it, she, he is a party in accordance with the laws of its jurisdiction of organization and/or the laws that it, she or he is subject to;</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presented to us remain in full force and effect on the date of this opinion and have not been revoked, amended or supplemented, and no amendments, revisions, supplements, modifications or other changes have been made, and no revocation or termination has occurred, with respect to any of the Documents after they were submitted to us for the purposes of this opinion;</w:t>
            </w:r>
          </w:p>
        </w:tc>
      </w:tr>
    </w:tbl>
    <w:p>
      <w:pPr>
        <w:pStyle w:val="TextBody"/>
        <w:bidi w:val="0"/>
        <w:spacing w:before="0" w:after="0"/>
        <w:ind w:left="567" w:right="0" w:hanging="5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567" w:right="0" w:hanging="567"/>
        <w:jc w:val="right"/>
        <w:rPr>
          <w:caps w:val="false"/>
          <w:smallCaps w:val="false"/>
        </w:rPr>
      </w:pPr>
      <w:r>
        <w:rPr>
          <w:caps w:val="false"/>
          <w:smallCaps w:val="false"/>
        </w:rPr>
        <w:drawing>
          <wp:inline distT="0" distB="0" distL="0" distR="0">
            <wp:extent cx="102870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028700" cy="342900"/>
                    </a:xfrm>
                    <a:prstGeom prst="rect">
                      <a:avLst/>
                    </a:prstGeom>
                  </pic:spPr>
                </pic:pic>
              </a:graphicData>
            </a:graphic>
          </wp:inline>
        </w:drawing>
      </w:r>
    </w:p>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jurisdictions other than the PRC which may be applicable to the execution, delivery, performance or enforcement of the Documents are complied with;</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requested Documents have been provided to us and all factual statements made to us by the Company and the PRC Companies in connection with this opinion, including but not limited to the statements set forth in the Documents, are true, correct and complete;</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explanations and interpretations provided by government officials duly reflect the official position of the relevant Governmental Agencies and are complete, true and correct;</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Documents is legal, valid, binding and enforceable in accordance with its respective governing laws in any and all respects; and</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Governmental Authorizations (as defined below) and other official statements and documentation obtained by the Company or any PRC Company from any Governmental Agency have been obtained by lawful means in due course, and the Documents provided to us conform with those documents submitted to Governmental Agencies for such purposes.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assumed and have not verified the truthfulness, accuracy and completeness as to the factual matters of each Document we have reviewed.</w:t>
      </w:r>
    </w:p>
    <w:p>
      <w:pPr>
        <w:pStyle w:val="TextBody"/>
        <w:bidi w:val="0"/>
        <w:spacing w:before="0" w:after="0"/>
        <w:ind w:left="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215"/>
        <w:gridCol w:w="9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in the context of this opinion, the following capitalized terms used in this opinion shall have the meanings ascribed to them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1"/>
        <w:gridCol w:w="8664"/>
      </w:tblGrid>
      <w:tr>
        <w:trPr/>
        <w:tc>
          <w:tcPr>
            <w:tcW w:w="15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Agency</w:t>
            </w:r>
            <w:r>
              <w:rPr>
                <w:rFonts w:ascii="Times New Roman;Times;Serif" w:hAnsi="Times New Roman;Times;Serif"/>
                <w:b w:val="false"/>
                <w:i w:val="false"/>
                <w:caps w:val="false"/>
                <w:smallCaps w:val="false"/>
                <w:sz w:val="20"/>
              </w:rPr>
              <w:t>”</w:t>
            </w:r>
          </w:p>
        </w:tc>
        <w:tc>
          <w:tcPr>
            <w:tcW w:w="86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national, provincial or local governmental, regulatory or administrative authority, agency or commission in the PRC, or any court, tribunal or any other judicial or arbitral body in the PRC, or any body exercising, or entitled to exercise, any administrative, judicial, legislative, law enforcement, regulatory, or taxing authority or power of a similar nature in the PRC.</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 </w:t>
            </w:r>
          </w:p>
        </w:tc>
        <w:tc>
          <w:tcPr>
            <w:tcW w:w="86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w:t>
            </w:r>
          </w:p>
        </w:tc>
        <w:tc>
          <w:tcPr>
            <w:tcW w:w="86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means any license, approval, consent, waiver, order, sanction, certificate, authorization, filing, declaration, disclosure, registration, exemption, permission, endorsement, annual inspection, clearance, qualification, permit or license by, from or with any Governmental Agency pursuant to any PRC Laws. </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 </w:t>
            </w:r>
          </w:p>
        </w:tc>
        <w:tc>
          <w:tcPr>
            <w:tcW w:w="86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PRC Companies</w:t>
            </w:r>
            <w:r>
              <w:rPr>
                <w:rFonts w:ascii="Times New Roman;Times;Serif" w:hAnsi="Times New Roman;Times;Serif"/>
                <w:b w:val="false"/>
                <w:i w:val="false"/>
                <w:caps w:val="false"/>
                <w:smallCaps w:val="false"/>
                <w:sz w:val="20"/>
              </w:rPr>
              <w:t>”</w:t>
            </w:r>
          </w:p>
        </w:tc>
        <w:tc>
          <w:tcPr>
            <w:tcW w:w="86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 collectively, all entities listed on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hereto, and each, a “</w:t>
            </w:r>
            <w:r>
              <w:rPr>
                <w:rFonts w:ascii="Times New Roman;Times;Serif" w:hAnsi="Times New Roman;Times;Serif"/>
                <w:b w:val="false"/>
                <w:i w:val="false"/>
                <w:caps w:val="false"/>
                <w:smallCaps w:val="false"/>
                <w:sz w:val="20"/>
                <w:u w:val="single"/>
              </w:rPr>
              <w:t>PRC Company</w:t>
            </w:r>
            <w:r>
              <w:rPr>
                <w:rFonts w:ascii="Times New Roman;Times;Serif" w:hAnsi="Times New Roman;Times;Serif"/>
                <w:b w:val="false"/>
                <w:i w:val="false"/>
                <w:caps w:val="false"/>
                <w:smallCaps w:val="false"/>
                <w:sz w:val="20"/>
              </w:rPr>
              <w:t>”.</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 </w:t>
            </w:r>
          </w:p>
        </w:tc>
        <w:tc>
          <w:tcPr>
            <w:tcW w:w="86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PRC Laws</w:t>
            </w:r>
            <w:r>
              <w:rPr>
                <w:rFonts w:ascii="Times New Roman;Times;Serif" w:hAnsi="Times New Roman;Times;Serif"/>
                <w:b w:val="false"/>
                <w:i w:val="false"/>
                <w:caps w:val="false"/>
                <w:smallCaps w:val="false"/>
                <w:sz w:val="20"/>
              </w:rPr>
              <w:t>”</w:t>
            </w:r>
          </w:p>
        </w:tc>
        <w:tc>
          <w:tcPr>
            <w:tcW w:w="86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 all applicable national, provincial and local laws, regulations, rules, notices, orders, decrees and judicial interpretations of the PRC currently in effect and publicly available on the date of this opinion.</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1028700"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1028700" cy="342900"/>
                    </a:xfrm>
                    <a:prstGeom prst="rect">
                      <a:avLst/>
                    </a:prstGeom>
                  </pic:spPr>
                </pic:pic>
              </a:graphicData>
            </a:graphic>
          </wp:inline>
        </w:drawing>
      </w:r>
    </w:p>
    <w:p>
      <w:pPr>
        <w:pStyle w:val="TextBody"/>
        <w:bidi w:val="0"/>
        <w:spacing w:before="0" w:after="283"/>
        <w:jc w:val="left"/>
        <w:rPr/>
      </w:pPr>
      <w:r>
        <w:rPr/>
        <w:t> </w:t>
      </w:r>
    </w:p>
    <w:tbl>
      <w:tblPr>
        <w:tblW w:w="1015" w:type="dxa"/>
        <w:jc w:val="left"/>
        <w:tblInd w:w="0" w:type="dxa"/>
        <w:tblLayout w:type="fixed"/>
        <w:tblCellMar>
          <w:top w:w="0" w:type="dxa"/>
          <w:left w:w="0" w:type="dxa"/>
          <w:bottom w:w="0" w:type="dxa"/>
          <w:right w:w="0" w:type="dxa"/>
        </w:tblCellMar>
      </w:tblPr>
      <w:tblGrid>
        <w:gridCol w:w="215"/>
        <w:gridCol w:w="8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review of the Documents and subject to the Assumptions and the Qualifications (as defined below), we are of the opinion as of the date hereof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Taxation</w:t>
            </w:r>
            <w:r>
              <w:rPr>
                <w:rFonts w:ascii="Times New Roman;Times;Serif" w:hAnsi="Times New Roman;Times;Serif"/>
                <w:b w:val="false"/>
                <w:i w:val="false"/>
                <w:caps w:val="false"/>
                <w:smallCaps w:val="false"/>
                <w:sz w:val="20"/>
              </w:rPr>
              <w:t>. The statements made in the Registration Statement under the caption “Taxation” with respect to the PRC tax laws and regulations, constitute true and accurate descriptions of the matters described therein in all material aspects.</w:t>
            </w:r>
          </w:p>
        </w:tc>
      </w:tr>
    </w:tbl>
    <w:p>
      <w:pPr>
        <w:pStyle w:val="TextBody"/>
        <w:bidi w:val="0"/>
        <w:spacing w:before="0" w:after="0"/>
        <w:ind w:left="440" w:right="0" w:hanging="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expressed above is subject to the following qualifications (the “</w:t>
      </w:r>
      <w:r>
        <w:rPr>
          <w:rFonts w:ascii="Times New Roman;Times;Serif" w:hAnsi="Times New Roman;Times;Serif"/>
          <w:b w:val="false"/>
          <w:i w:val="false"/>
          <w:caps w:val="false"/>
          <w:smallCaps w:val="false"/>
          <w:sz w:val="20"/>
          <w:u w:val="single"/>
        </w:rPr>
        <w:t>Qualifications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PRC Laws of general application on the date hereof. We have made no investigation of, and do not express or imply any views on, the laws and regulations of any jurisdiction other than the PRC, and we have assumed that no such other laws or regulations would affect our opinions expressed above.</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referred to herein are the laws and regulations publicly available and currently in force on the date hereof and there is no guarantee that any of such PRC Laws, or the interpretation or enforcement thereof, will not be changed, amended or revoked in the future with or without retrospective effect.</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(i) applicable bankruptcy, insolvency, fraudulent transfer, reorganization, moratorium or similar laws in the PRC affecting creditors’ rights generally, and (ii) possible judicial or administrative actions or any PRC Laws affecting creditors’ rights.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the effects of (i) certain legal or statutory principles affecting the validity and enforceability of contractual rights generally under the concepts of public interests, social ethics, national security, good faith, fair dealing, and applicable statutes of limitation, (ii) any circumstance in connection with the formulation, execution or performance of any legal documents that would be deemed materially mistaken, clearly unconscionable, fraudulent, coercionary or concealing illegal intentions with a lawful form, (iii) judicial discretion with respect to the availability of specific performance, injunctive relief, remedies or defenses, or the calculation of damages, and (iv) the discretion of any competent PRC legislative, administrative or judicial bodies in exercising their authority in the PRC.</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issued based on our understanding of PRC Laws. For matters not explicitly provided under PRC Laws, the interpretation, implementation and application of the specific requirements under PRC Laws, as well as their application to and effect on the legality, binding effect and enforceability of certain contracts, are subject to the final discretion of competent PRC legislative, administrative and judicial authorities, and there can be no assurance that the Governmental Agencies will not take a view that is contrary to or otherwise different from our opinion stated herein.</w:t>
            </w:r>
          </w:p>
        </w:tc>
      </w:tr>
    </w:tbl>
    <w:p>
      <w:pPr>
        <w:pStyle w:val="TextBody"/>
        <w:bidi w:val="0"/>
        <w:spacing w:before="0" w:after="0"/>
        <w:ind w:left="567" w:right="0" w:hanging="567"/>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567" w:right="0" w:hanging="567"/>
        <w:jc w:val="right"/>
        <w:rPr>
          <w:caps w:val="false"/>
          <w:smallCaps w:val="false"/>
        </w:rPr>
      </w:pPr>
      <w:r>
        <w:rPr>
          <w:caps w:val="false"/>
          <w:smallCaps w:val="false"/>
        </w:rPr>
        <w:drawing>
          <wp:inline distT="0" distB="0" distL="0" distR="0">
            <wp:extent cx="1028700" cy="342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1028700" cy="342900"/>
                    </a:xfrm>
                    <a:prstGeom prst="rect">
                      <a:avLst/>
                    </a:prstGeom>
                  </pic:spPr>
                </pic:pic>
              </a:graphicData>
            </a:graphic>
          </wp:inline>
        </w:drawing>
      </w:r>
    </w:p>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“enforceable” or “enforceability” as used in this opinion means that the obligations assumed by the relevant obligors under the relevant Documents are of a type which the courts of the PRC may enforce. It does not mean that those obligations will necessarily be enforced in all circumstances in accordance with their respective terms and/or additional terms that may be imposed by the courts. As used in this opinion, the expression “to our knowledge” or similar language with reference to matters of fact refers to the current, actual knowledge of the attorneys of this firm who have worked on matters for the Company and the PRC Companies in connection with this opinion. We may rely, as to matters of fact (but not as to legal conclusions), to the extent we deem proper, on certificates, statements and confirmations made by the responsible officers of the Company, the PRC Companies and/or the Governmental Agencies.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undertaken any independent investigation, search or other verification action to determine the existence or absence of any fact or to prepare this opinion, and no inference as to our knowledge of the existence or absence of any fact should be drawn from our representation of the Company or the PRC Companies or the rendering of this opinion.</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intended to be used in the context which is specifically referred to herein, and each paragraph shall be construed as a whole and no part shall be extracted and referred to independently.</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solely for the benefit of the Company and without our prior written consent, neither our opinions nor this opinion may be disclosed to or relied upon by any other person. We hereby consent to the use of this opinion in, and the filing hereof as an exhibit to the Registration Statement, and to the reference to our name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strictly limited to the matters stated herein and no opinion is implied or may be inferred beyond the matters expressly stated herein. The opinion expressed herein is rendered only as of the date hereof, and we assume no responsibility to advise you of facts, circumstances, events or developments that hereafter may be brought to our attention and that may alter, affect or modify the opinion expressed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28700" cy="342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7"/>
                    <a:stretch>
                      <a:fillRect/>
                    </a:stretch>
                  </pic:blipFill>
                  <pic:spPr bwMode="auto">
                    <a:xfrm>
                      <a:off x="0" y="0"/>
                      <a:ext cx="1028700" cy="342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2420"/>
        <w:gridCol w:w="75"/>
      </w:tblGrid>
      <w:tr>
        <w:trPr/>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HAN KUN LAW OFFICES</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 KUN LAW OFFICES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PRC Companies</w:t>
      </w:r>
    </w:p>
    <w:p>
      <w:pPr>
        <w:pStyle w:val="TextBody"/>
        <w:bidi w:val="0"/>
        <w:spacing w:before="0" w:after="0"/>
        <w:ind w:left="0" w:right="0" w:hanging="0"/>
        <w:jc w:val="center"/>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85"/>
        <w:gridCol w:w="4325"/>
      </w:tblGrid>
      <w:tr>
        <w:trPr/>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43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PRC Companies</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43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3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Lequan Technology (Beijing) Co., Ltd.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3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Yunmi Hulian Technology (Guangdong) Co., Ltd.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3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Zhumeng Hulian Technology (Guangdong) Co., Ltd.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23-1.htm"/>
      <w:bookmarkStart w:id="27" w:name="ksex231"/>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138049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8"/>
                    <a:stretch>
                      <a:fillRect/>
                    </a:stretch>
                  </pic:blipFill>
                  <pic:spPr bwMode="auto">
                    <a:xfrm>
                      <a:off x="0" y="0"/>
                      <a:ext cx="8229600" cy="13804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Amendment No. 1 to Form F-3 of Viomi Technology Co., Ltd of our report dated April 22, 2026, relating to the consolidated financial statements of Viomi Technology Co., Ltd appearing in its Annual Report on Form 20-F for the year ended December 31, 2025, filed with the Securities and Exchange Commission. We also consent to the reference to us under the heading “Experts” in such Amendment No.1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820"/>
        <w:gridCol w:w="2765"/>
      </w:tblGrid>
      <w:tr>
        <w:trPr/>
        <w:tc>
          <w:tcPr>
            <w:tcW w:w="18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drawing>
                <wp:inline distT="0" distB="0" distL="0" distR="0">
                  <wp:extent cx="1645920" cy="4483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9"/>
                          <a:stretch>
                            <a:fillRect/>
                          </a:stretch>
                        </pic:blipFill>
                        <pic:spPr bwMode="auto">
                          <a:xfrm>
                            <a:off x="0" y="0"/>
                            <a:ext cx="1645920" cy="448310"/>
                          </a:xfrm>
                          <a:prstGeom prst="rect">
                            <a:avLst/>
                          </a:prstGeom>
                        </pic:spPr>
                      </pic:pic>
                    </a:graphicData>
                  </a:graphic>
                </wp:inline>
              </w:drawing>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Mateo, California</w:t>
            </w:r>
          </w:p>
        </w:tc>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WWC, P.C.</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8, 2026</w:t>
            </w:r>
          </w:p>
        </w:tc>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Certified Public Accountants</w:t>
            </w:r>
          </w:p>
        </w:tc>
      </w:tr>
      <w:tr>
        <w:trPr/>
        <w:tc>
          <w:tcPr>
            <w:tcW w:w="18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PCAOB ID: 1171</w:t>
            </w:r>
          </w:p>
        </w:tc>
      </w:tr>
    </w:tbl>
    <w:p>
      <w:pPr>
        <w:pStyle w:val="TextBody"/>
        <w:bidi w:val="0"/>
        <w:spacing w:before="0" w:after="0"/>
        <w:ind w:left="6118"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229600" cy="42037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0"/>
                    <a:stretch>
                      <a:fillRect/>
                    </a:stretch>
                  </pic:blipFill>
                  <pic:spPr bwMode="auto">
                    <a:xfrm>
                      <a:off x="0" y="0"/>
                      <a:ext cx="8229600" cy="42037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8" w:name="ex23-3.htm"/>
      <w:bookmarkStart w:id="29" w:name="ksex233"/>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both"/>
        <w:rPr>
          <w:caps w:val="false"/>
          <w:smallCaps w:val="false"/>
        </w:rPr>
      </w:pPr>
      <w:r>
        <w:rPr>
          <w:caps w:val="false"/>
          <w:smallCaps w:val="false"/>
        </w:rPr>
        <w:t> </w:t>
      </w:r>
    </w:p>
    <w:tbl>
      <w:tblPr>
        <w:tblW w:w="9135" w:type="dxa"/>
        <w:jc w:val="left"/>
        <w:tblInd w:w="0" w:type="dxa"/>
        <w:tblLayout w:type="fixed"/>
        <w:tblCellMar>
          <w:top w:w="0" w:type="dxa"/>
          <w:left w:w="0" w:type="dxa"/>
          <w:bottom w:w="0" w:type="dxa"/>
          <w:right w:w="0" w:type="dxa"/>
        </w:tblCellMar>
      </w:tblPr>
      <w:tblGrid>
        <w:gridCol w:w="7500"/>
        <w:gridCol w:w="1635"/>
      </w:tblGrid>
      <w:tr>
        <w:trPr/>
        <w:tc>
          <w:tcPr>
            <w:tcW w:w="7500" w:type="dxa"/>
            <w:tcBorders/>
            <w:vAlign w:val="center"/>
          </w:tcPr>
          <w:p>
            <w:pPr>
              <w:pStyle w:val="TableContents"/>
              <w:bidi w:val="0"/>
              <w:spacing w:before="0" w:after="283"/>
              <w:jc w:val="left"/>
              <w:rPr/>
            </w:pPr>
            <w:r>
              <w:rPr/>
              <w:drawing>
                <wp:inline distT="0" distB="0" distL="0" distR="0">
                  <wp:extent cx="4752975" cy="438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1"/>
                          <a:stretch>
                            <a:fillRect/>
                          </a:stretch>
                        </pic:blipFill>
                        <pic:spPr bwMode="auto">
                          <a:xfrm>
                            <a:off x="0" y="0"/>
                            <a:ext cx="4752975" cy="438150"/>
                          </a:xfrm>
                          <a:prstGeom prst="rect">
                            <a:avLst/>
                          </a:prstGeom>
                        </pic:spPr>
                      </pic:pic>
                    </a:graphicData>
                  </a:graphic>
                </wp:inline>
              </w:drawing>
            </w:r>
          </w:p>
        </w:tc>
        <w:tc>
          <w:tcPr>
            <w:tcW w:w="1635" w:type="dxa"/>
            <w:tcBorders/>
            <w:vAlign w:val="center"/>
          </w:tcPr>
          <w:p>
            <w:pPr>
              <w:pStyle w:val="TableContents"/>
              <w:bidi w:val="0"/>
              <w:spacing w:before="0" w:after="283"/>
              <w:jc w:val="right"/>
              <w:rPr/>
            </w:pPr>
            <w:r>
              <w:rPr/>
              <w:drawing>
                <wp:inline distT="0" distB="0" distL="0" distR="0">
                  <wp:extent cx="1028700"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1028700" cy="342900"/>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35"/>
        <w:gridCol w:w="3800"/>
      </w:tblGrid>
      <w:tr>
        <w:trPr/>
        <w:tc>
          <w:tcPr>
            <w:tcW w:w="3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Viomi Technology Co., Ltd</w:t>
            </w:r>
            <w:r>
              <w:rPr>
                <w:rFonts w:ascii="Times New Roman;Times;Serif" w:hAnsi="Times New Roman;Times;Serif"/>
                <w:sz w:val="20"/>
              </w:rPr>
              <w:t xml:space="preserve"> (the “</w:t>
            </w:r>
            <w:r>
              <w:rPr>
                <w:rFonts w:ascii="Times New Roman;Times;Serif" w:hAnsi="Times New Roman;Times;Serif"/>
                <w:b/>
                <w:sz w:val="20"/>
              </w:rPr>
              <w:t>Company</w:t>
            </w:r>
            <w:r>
              <w:rPr>
                <w:rFonts w:ascii="Times New Roman;Times;Serif" w:hAnsi="Times New Roman;Times;Serif"/>
                <w:sz w:val="20"/>
              </w:rPr>
              <w:t>”)</w:t>
            </w:r>
          </w:p>
        </w:tc>
      </w:tr>
      <w:tr>
        <w:trPr/>
        <w:tc>
          <w:tcPr>
            <w:tcW w:w="33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xml:space="preserve">No. 7 Licun Industrial Avenue, </w:t>
            </w:r>
          </w:p>
        </w:tc>
      </w:tr>
      <w:tr>
        <w:trPr/>
        <w:tc>
          <w:tcPr>
            <w:tcW w:w="33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xml:space="preserve">Lunjiao Subdistrict, Shunde District, </w:t>
            </w:r>
          </w:p>
        </w:tc>
      </w:tr>
      <w:tr>
        <w:trPr/>
        <w:tc>
          <w:tcPr>
            <w:tcW w:w="33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xml:space="preserve">Foshan, Guangdong, 528308 </w:t>
            </w:r>
          </w:p>
        </w:tc>
      </w:tr>
      <w:tr>
        <w:trPr/>
        <w:tc>
          <w:tcPr>
            <w:tcW w:w="33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People’s Republic of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PRC legal counsel as to the laws of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for purpose of this letter only, excluding the Hong Kong Special Administrative Region, the Macau Special Administrative Region and Taiwan Region) to the Company in connection with the proposed offering as set forth in the Company’s registration statement on Form F-3, including all amendments and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U.S.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of our name under the headings “Enforceability of Civil ‎Liabilities,” “Taxation” and “Legal Matters”. We also consent to the filing with the SEC of this ‎consent letter as an exhibit to the Registration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2000"/>
        <w:gridCol w:w="75"/>
      </w:tblGrid>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Han Kun Law Offices</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 Kun Law Offices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42770/000149315226018435/form20-f.htm" TargetMode="External"/><Relationship Id="rId4" Type="http://schemas.openxmlformats.org/officeDocument/2006/relationships/hyperlink" Target="https://www.sec.gov/Archives/edgar/data/1742770/000149315226040317/form6-k.htm" TargetMode="External"/><Relationship Id="rId5" Type="http://schemas.openxmlformats.org/officeDocument/2006/relationships/hyperlink" Target="https://www.sec.gov/Archives/edgar/data/1742770/000110465918056135/a18-9514_78a12b.htm" TargetMode="External"/><Relationship Id="rId6" Type="http://schemas.openxmlformats.org/officeDocument/2006/relationships/hyperlink" Target="https://www.sec.gov/Archives/edgar/data/1742770/000104746918005832/a2236505zex-3_2.htm" TargetMode="External"/><Relationship Id="rId7" Type="http://schemas.openxmlformats.org/officeDocument/2006/relationships/hyperlink" Target="https://www.sec.gov/Archives/edgar/data/1742770/000156459019008887/viot-ex43_6.htm" TargetMode="External"/><Relationship Id="rId8" Type="http://schemas.openxmlformats.org/officeDocument/2006/relationships/hyperlink" Target="https://www.sec.gov/Archives/edgar/data/1742770/000104746918006129/a2236581zex-4_2.htm" TargetMode="External"/><Relationship Id="rId9" Type="http://schemas.openxmlformats.org/officeDocument/2006/relationships/hyperlink" Target="https://www.sec.gov/Archives/edgar/data/1742770/000156459019008887/viot-ex43_6.htm" TargetMode="External"/><Relationship Id="rId10" Type="http://schemas.openxmlformats.org/officeDocument/2006/relationships/hyperlink" Target="https://www.sec.gov/Archives/edgar/data/1742770/000149315226032618/ex107.htm" TargetMode="Externa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7.jpeg"/><Relationship Id="rId21" Type="http://schemas.openxmlformats.org/officeDocument/2006/relationships/image" Target="media/image3.jpeg"/><Relationship Id="rId22" Type="http://schemas.openxmlformats.org/officeDocument/2006/relationships/image" Target="media/image4.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53161</Words>
  <Characters>284271</Characters>
  <CharactersWithSpaces>339446</CharactersWithSpaces>
  <Paragraphs>7522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