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580" w:val="left"/>
        </w:tabs>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5, 2026</w:t>
      </w:r>
      <w:r>
        <w:rPr>
          <w:sz w:val="20"/>
          <w:szCs w:val="20"/>
          <w:color w:val="auto"/>
        </w:rPr>
        <w:tab/>
      </w: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F-6</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 FOR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 EVIDENCED BY AMERICAN DEPOSITARY RECEIPTS</w:t>
      </w:r>
    </w:p>
    <w:p>
      <w:pPr>
        <w:spacing w:after="0" w:line="9"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Viomi Technology Co., Ltd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7"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color w:val="auto"/>
        </w:rPr>
        <w:t>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9"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color w:val="auto"/>
        </w:rPr>
        <w:t>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Columbus Circle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(212) 250-9100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9"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color w:val="auto"/>
        </w:rPr>
        <w:t>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Library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204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Newark, Delaware 19711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(302) 738-6680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464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rPr>
              <w:t>Copies to:</w:t>
            </w:r>
          </w:p>
        </w:tc>
      </w:tr>
      <w:tr>
        <w:trPr>
          <w:trHeight w:val="356"/>
        </w:trPr>
        <w:tc>
          <w:tcPr>
            <w:tcW w:w="460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Haiping Li, Esq.</w:t>
            </w:r>
          </w:p>
        </w:tc>
        <w:tc>
          <w:tcPr>
            <w:tcW w:w="46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8"/>
              </w:rPr>
              <w:t>Melissa Butler, Esq.</w:t>
            </w:r>
          </w:p>
        </w:tc>
      </w:tr>
      <w:tr>
        <w:trPr>
          <w:trHeight w:val="216"/>
        </w:trPr>
        <w:tc>
          <w:tcPr>
            <w:tcW w:w="460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Skadden, Arps, Slate, Meagher &amp; Flom LLP</w:t>
            </w:r>
          </w:p>
        </w:tc>
        <w:tc>
          <w:tcPr>
            <w:tcW w:w="46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Karen Katri, Esq.</w:t>
            </w:r>
          </w:p>
        </w:tc>
      </w:tr>
      <w:tr>
        <w:trPr>
          <w:trHeight w:val="216"/>
        </w:trPr>
        <w:tc>
          <w:tcPr>
            <w:tcW w:w="460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c/o 42/F, Edinburgh Tower</w:t>
            </w:r>
          </w:p>
        </w:tc>
        <w:tc>
          <w:tcPr>
            <w:tcW w:w="46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8"/>
              </w:rPr>
              <w:t>White &amp; Case LLP</w:t>
            </w:r>
          </w:p>
        </w:tc>
      </w:tr>
      <w:tr>
        <w:trPr>
          <w:trHeight w:val="216"/>
        </w:trPr>
        <w:tc>
          <w:tcPr>
            <w:tcW w:w="460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The Landmark</w:t>
            </w:r>
          </w:p>
        </w:tc>
        <w:tc>
          <w:tcPr>
            <w:tcW w:w="46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5 Old Broad Street</w:t>
            </w:r>
          </w:p>
        </w:tc>
      </w:tr>
      <w:tr>
        <w:trPr>
          <w:trHeight w:val="216"/>
        </w:trPr>
        <w:tc>
          <w:tcPr>
            <w:tcW w:w="460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15 Queen’s Road Central</w:t>
            </w:r>
          </w:p>
        </w:tc>
        <w:tc>
          <w:tcPr>
            <w:tcW w:w="46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London EC2N 1DW</w:t>
            </w:r>
          </w:p>
        </w:tc>
      </w:tr>
      <w:tr>
        <w:trPr>
          <w:trHeight w:val="216"/>
        </w:trPr>
        <w:tc>
          <w:tcPr>
            <w:tcW w:w="460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Hong Kong</w:t>
            </w:r>
          </w:p>
        </w:tc>
        <w:tc>
          <w:tcPr>
            <w:tcW w:w="46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20"/>
        </w:trPr>
        <w:tc>
          <w:tcPr>
            <w:tcW w:w="460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+852 3740-4700</w:t>
            </w:r>
          </w:p>
        </w:tc>
        <w:tc>
          <w:tcPr>
            <w:tcW w:w="46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+1 305 925 4788</w:t>
            </w:r>
          </w:p>
        </w:tc>
      </w:tr>
      <w:tr>
        <w:trPr>
          <w:trHeight w:val="234"/>
        </w:trPr>
        <w:tc>
          <w:tcPr>
            <w:tcW w:w="4600" w:type="dxa"/>
            <w:vAlign w:val="bottom"/>
          </w:tcPr>
          <w:p>
            <w:pPr>
              <w:spacing w:after="0"/>
              <w:rPr>
                <w:sz w:val="20"/>
                <w:szCs w:val="20"/>
                <w:color w:val="auto"/>
              </w:rPr>
            </w:pPr>
          </w:p>
        </w:tc>
        <w:tc>
          <w:tcPr>
            <w:tcW w:w="464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______________________</w:t>
            </w:r>
          </w:p>
        </w:tc>
      </w:tr>
      <w:tr>
        <w:trPr>
          <w:trHeight w:val="54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464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r>
      <w:tr>
        <w:trPr>
          <w:trHeight w:val="303"/>
        </w:trPr>
        <w:tc>
          <w:tcPr>
            <w:tcW w:w="4600" w:type="dxa"/>
            <w:vAlign w:val="bottom"/>
          </w:tcPr>
          <w:p>
            <w:pPr>
              <w:spacing w:after="0"/>
              <w:rPr>
                <w:sz w:val="24"/>
                <w:szCs w:val="24"/>
                <w:color w:val="auto"/>
              </w:rPr>
            </w:pPr>
          </w:p>
        </w:tc>
        <w:tc>
          <w:tcPr>
            <w:tcW w:w="464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r>
    </w:tbl>
    <w:p>
      <w:pPr>
        <w:spacing w:after="0" w:line="28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p>
      <w:pPr>
        <w:spacing w:after="0" w:line="70"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4225" cy="885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85190"/>
                    </a:xfrm>
                    <a:prstGeom prst="rect">
                      <a:avLst/>
                    </a:prstGeom>
                    <a:noFill/>
                  </pic:spPr>
                </pic:pic>
              </a:graphicData>
            </a:graphic>
          </wp:anchor>
        </w:drawing>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to be</w:t>
            </w: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2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Proposed maximum</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77"/>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of Securities to be registered</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2440" w:type="dxa"/>
            <w:vAlign w:val="bottom"/>
            <w:vMerge w:val="restart"/>
          </w:tcPr>
          <w:p>
            <w:pPr>
              <w:jc w:val="center"/>
              <w:spacing w:after="0" w:line="262" w:lineRule="exact"/>
              <w:rPr>
                <w:sz w:val="20"/>
                <w:szCs w:val="20"/>
                <w:color w:val="auto"/>
              </w:rPr>
            </w:pPr>
            <w:r>
              <w:rPr>
                <w:rFonts w:ascii="Times New Roman" w:cs="Times New Roman" w:eastAsia="Times New Roman" w:hAnsi="Times New Roman"/>
                <w:sz w:val="18"/>
                <w:szCs w:val="18"/>
                <w:b w:val="1"/>
                <w:bCs w:val="1"/>
                <w:color w:val="auto"/>
                <w:w w:val="97"/>
              </w:rPr>
              <w:t>aggregate price per unit</w:t>
            </w:r>
            <w:r>
              <w:rPr>
                <w:rFonts w:ascii="Times New Roman" w:cs="Times New Roman" w:eastAsia="Times New Roman" w:hAnsi="Times New Roman"/>
                <w:sz w:val="29"/>
                <w:szCs w:val="29"/>
                <w:b w:val="1"/>
                <w:bCs w:val="1"/>
                <w:color w:val="auto"/>
                <w:w w:val="97"/>
                <w:vertAlign w:val="superscript"/>
              </w:rPr>
              <w:t>(1)</w:t>
            </w:r>
          </w:p>
        </w:tc>
        <w:tc>
          <w:tcPr>
            <w:tcW w:w="2420" w:type="dxa"/>
            <w:vAlign w:val="bottom"/>
            <w:tcBorders>
              <w:right w:val="single" w:sz="8" w:color="auto"/>
            </w:tcBorders>
            <w:vMerge w:val="restart"/>
          </w:tcPr>
          <w:p>
            <w:pPr>
              <w:jc w:val="center"/>
              <w:spacing w:after="0" w:line="262" w:lineRule="exact"/>
              <w:rPr>
                <w:sz w:val="20"/>
                <w:szCs w:val="20"/>
                <w:color w:val="auto"/>
              </w:rPr>
            </w:pPr>
            <w:r>
              <w:rPr>
                <w:rFonts w:ascii="Times New Roman" w:cs="Times New Roman" w:eastAsia="Times New Roman" w:hAnsi="Times New Roman"/>
                <w:sz w:val="18"/>
                <w:szCs w:val="18"/>
                <w:b w:val="1"/>
                <w:bCs w:val="1"/>
                <w:color w:val="auto"/>
                <w:w w:val="96"/>
              </w:rPr>
              <w:t>aggregate offering price</w:t>
            </w:r>
            <w:r>
              <w:rPr>
                <w:rFonts w:ascii="Times New Roman" w:cs="Times New Roman" w:eastAsia="Times New Roman" w:hAnsi="Times New Roman"/>
                <w:sz w:val="29"/>
                <w:szCs w:val="29"/>
                <w:b w:val="1"/>
                <w:bCs w:val="1"/>
                <w:color w:val="auto"/>
                <w:w w:val="96"/>
                <w:vertAlign w:val="superscript"/>
              </w:rPr>
              <w:t>(2)</w:t>
            </w:r>
          </w:p>
        </w:tc>
        <w:tc>
          <w:tcPr>
            <w:tcW w:w="1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94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2440" w:type="dxa"/>
            <w:vAlign w:val="bottom"/>
            <w:vMerge w:val="continue"/>
          </w:tcPr>
          <w:p>
            <w:pPr>
              <w:spacing w:after="0"/>
              <w:rPr>
                <w:sz w:val="16"/>
                <w:szCs w:val="16"/>
                <w:color w:val="auto"/>
              </w:rPr>
            </w:pPr>
          </w:p>
        </w:tc>
        <w:tc>
          <w:tcPr>
            <w:tcW w:w="242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registration fee</w:t>
            </w:r>
          </w:p>
        </w:tc>
        <w:tc>
          <w:tcPr>
            <w:tcW w:w="0" w:type="dxa"/>
            <w:vAlign w:val="bottom"/>
          </w:tcPr>
          <w:p>
            <w:pPr>
              <w:spacing w:after="0"/>
              <w:rPr>
                <w:sz w:val="1"/>
                <w:szCs w:val="1"/>
                <w:color w:val="auto"/>
              </w:rPr>
            </w:pPr>
          </w:p>
        </w:tc>
      </w:tr>
      <w:tr>
        <w:trPr>
          <w:trHeight w:val="51"/>
        </w:trPr>
        <w:tc>
          <w:tcPr>
            <w:tcW w:w="294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American Depositary Shares, each</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50,000,000 American</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$2,500,000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$345.25</w:t>
            </w:r>
          </w:p>
        </w:tc>
        <w:tc>
          <w:tcPr>
            <w:tcW w:w="0" w:type="dxa"/>
            <w:vAlign w:val="bottom"/>
          </w:tcPr>
          <w:p>
            <w:pPr>
              <w:spacing w:after="0"/>
              <w:rPr>
                <w:sz w:val="1"/>
                <w:szCs w:val="1"/>
                <w:color w:val="auto"/>
              </w:rPr>
            </w:pPr>
          </w:p>
        </w:tc>
      </w:tr>
      <w:tr>
        <w:trPr>
          <w:trHeight w:val="36"/>
        </w:trPr>
        <w:tc>
          <w:tcPr>
            <w:tcW w:w="2940" w:type="dxa"/>
            <w:vAlign w:val="bottom"/>
            <w:vMerge w:val="continue"/>
          </w:tcPr>
          <w:p>
            <w:pPr>
              <w:spacing w:after="0"/>
              <w:rPr>
                <w:sz w:val="3"/>
                <w:szCs w:val="3"/>
                <w:color w:val="auto"/>
              </w:rPr>
            </w:pPr>
          </w:p>
        </w:tc>
        <w:tc>
          <w:tcPr>
            <w:tcW w:w="1960" w:type="dxa"/>
            <w:vAlign w:val="bottom"/>
            <w:vMerge w:val="continue"/>
          </w:tcPr>
          <w:p>
            <w:pPr>
              <w:spacing w:after="0"/>
              <w:rPr>
                <w:sz w:val="3"/>
                <w:szCs w:val="3"/>
                <w:color w:val="auto"/>
              </w:rPr>
            </w:pPr>
          </w:p>
        </w:tc>
        <w:tc>
          <w:tcPr>
            <w:tcW w:w="2440" w:type="dxa"/>
            <w:vAlign w:val="bottom"/>
            <w:vMerge w:val="continue"/>
          </w:tcPr>
          <w:p>
            <w:pPr>
              <w:spacing w:after="0"/>
              <w:rPr>
                <w:sz w:val="3"/>
                <w:szCs w:val="3"/>
                <w:color w:val="auto"/>
              </w:rPr>
            </w:pPr>
          </w:p>
        </w:tc>
        <w:tc>
          <w:tcPr>
            <w:tcW w:w="242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representing three Class A ordinary</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Depositary Shares</w:t>
            </w:r>
          </w:p>
        </w:tc>
        <w:tc>
          <w:tcPr>
            <w:tcW w:w="2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 of Viomi Technology Co., Ltd</w:t>
            </w:r>
          </w:p>
        </w:tc>
        <w:tc>
          <w:tcPr>
            <w:tcW w:w="1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60" w:hanging="752"/>
        <w:spacing w:after="0" w:line="198" w:lineRule="auto"/>
        <w:tabs>
          <w:tab w:leader="none" w:pos="76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purpose of this table only the term “unit” is defined as one American Depositary Share.</w:t>
      </w:r>
    </w:p>
    <w:p>
      <w:pPr>
        <w:ind w:left="760" w:hanging="752"/>
        <w:spacing w:after="0" w:line="193" w:lineRule="auto"/>
        <w:tabs>
          <w:tab w:leader="none" w:pos="76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American Depositary Shares.</w:t>
      </w:r>
    </w:p>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PROSPECTUS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prospectus consists of the proposed form of American Depositary Receipt (“Receipt”) included as Exhibits A and B to the form of Deposit Agreement and filed as Exhibit (a) to the registration statement on Form F-6 (File No. 333-227276) previously filed by the registrant and is incorporated herein by reference.</w:t>
      </w:r>
    </w:p>
    <w:p>
      <w:pPr>
        <w:spacing w:after="0" w:line="11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SECURITIES TO BE REGISTERED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Required Information</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Location in Form of Receipt Filed Herewith as Prospectus</w:t>
            </w:r>
          </w:p>
        </w:tc>
      </w:tr>
      <w:tr>
        <w:trPr>
          <w:trHeight w:val="27"/>
        </w:trPr>
        <w:tc>
          <w:tcPr>
            <w:tcW w:w="320" w:type="dxa"/>
            <w:vAlign w:val="bottom"/>
            <w:shd w:val="clear" w:color="auto" w:fill="000000"/>
          </w:tcPr>
          <w:p>
            <w:pPr>
              <w:spacing w:after="0"/>
              <w:rPr>
                <w:sz w:val="2"/>
                <w:szCs w:val="2"/>
                <w:color w:val="auto"/>
              </w:rPr>
            </w:pPr>
          </w:p>
        </w:tc>
        <w:tc>
          <w:tcPr>
            <w:tcW w:w="566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shd w:val="clear" w:color="auto" w:fill="000000"/>
          </w:tcPr>
          <w:p>
            <w:pPr>
              <w:spacing w:after="0"/>
              <w:rPr>
                <w:sz w:val="2"/>
                <w:szCs w:val="2"/>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 of depositary and address of its principal executive office</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Face of Receipt – introductory paragraph</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Title of Receipts and identity of deposited securities</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Face of Receipt – top center</w:t>
            </w:r>
          </w:p>
        </w:tc>
      </w:tr>
      <w:tr>
        <w:trPr>
          <w:trHeight w:val="432"/>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Terms of Deposit:</w:t>
            </w:r>
          </w:p>
        </w:tc>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  amount  of  deposited  securities  represented  by  one</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Face of Receipt – upper right corner</w:t>
            </w: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American Depositary Share (“ADS”)</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(ii)</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 procedure for voting the deposited securities</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Reverse of Receipt – Articles 14 and 15</w:t>
            </w:r>
          </w:p>
        </w:tc>
      </w:tr>
      <w:tr>
        <w:trPr>
          <w:trHeight w:val="432"/>
        </w:trPr>
        <w:tc>
          <w:tcPr>
            <w:tcW w:w="3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(iii)</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 procedure for collecting and distributing dividends</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Reverse of Receipt – Articles 13 and 14</w:t>
            </w:r>
          </w:p>
        </w:tc>
      </w:tr>
      <w:tr>
        <w:trPr>
          <w:trHeight w:val="414"/>
        </w:trPr>
        <w:tc>
          <w:tcPr>
            <w:tcW w:w="3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(iv)</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 procedures for transmitting notices, reports and proxy</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Face of Receipt – Article 12;</w:t>
            </w: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soliciting material</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Reverse of Receipt – Articles 14 and 15</w:t>
            </w:r>
          </w:p>
        </w:tc>
      </w:tr>
      <w:tr>
        <w:trPr>
          <w:trHeight w:val="432"/>
        </w:trPr>
        <w:tc>
          <w:tcPr>
            <w:tcW w:w="3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 sale or exercise of rights</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Reverse of Receipt – Articles 13 and 14</w:t>
            </w:r>
          </w:p>
        </w:tc>
      </w:tr>
      <w:tr>
        <w:trPr>
          <w:trHeight w:val="414"/>
        </w:trPr>
        <w:tc>
          <w:tcPr>
            <w:tcW w:w="3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 deposit or sale of securities resulting from dividends, splits</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Face of Receipt – Articles 3, 6 and 9;</w:t>
            </w: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or plans of reorganization</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Reverse of Receipt – Articles 13 and 16</w:t>
            </w:r>
          </w:p>
        </w:tc>
      </w:tr>
      <w:tr>
        <w:trPr>
          <w:trHeight w:val="414"/>
        </w:trPr>
        <w:tc>
          <w:tcPr>
            <w:tcW w:w="3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(vii)</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Amendment,  extension  or  termination  of  the  deposit</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Reverse  of  Receipt  –  Articles  20  and  21  (no  provision  for</w:t>
            </w: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arrangements</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extension)</w:t>
            </w:r>
          </w:p>
        </w:tc>
      </w:tr>
      <w:tr>
        <w:trPr>
          <w:trHeight w:val="414"/>
        </w:trPr>
        <w:tc>
          <w:tcPr>
            <w:tcW w:w="3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(viii)</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 rights of holders of Receipts to inspect the books of the</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Face of Receipt – Article 12</w:t>
            </w: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depositary and the list of holders of Receipts</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(ix)</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Restrictions  upon  the  right  to  transfer  or  withdraw  the</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Face of Receipt – Articles 2, 3, 4, 6, 8, 9 and 10;</w:t>
            </w: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underlying securities</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Reverse of Receipt – Article 22</w:t>
            </w:r>
          </w:p>
        </w:tc>
      </w:tr>
      <w:tr>
        <w:trPr>
          <w:trHeight w:val="414"/>
        </w:trPr>
        <w:tc>
          <w:tcPr>
            <w:tcW w:w="3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Limitation on the depositary’s liability</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Face of Receipt – Article 10;</w:t>
            </w: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Reverse of Receipt – Articles 15, 16, 17 and 18</w:t>
            </w: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Fees and charges that a holder of Receipts may have to pay, either directly</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Face of Receipt – Article 9</w:t>
            </w:r>
          </w:p>
        </w:tc>
      </w:tr>
      <w:tr>
        <w:trPr>
          <w:trHeight w:val="234"/>
        </w:trPr>
        <w:tc>
          <w:tcPr>
            <w:tcW w:w="320" w:type="dxa"/>
            <w:vAlign w:val="bottom"/>
          </w:tcPr>
          <w:p>
            <w:pPr>
              <w:spacing w:after="0"/>
              <w:rPr>
                <w:sz w:val="20"/>
                <w:szCs w:val="20"/>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 indirectly</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Fees and other direct and indirect payments made by the depositary to the</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Face of Receipt – Article 9</w:t>
            </w:r>
          </w:p>
        </w:tc>
      </w:tr>
      <w:tr>
        <w:trPr>
          <w:trHeight w:val="234"/>
        </w:trPr>
        <w:tc>
          <w:tcPr>
            <w:tcW w:w="320" w:type="dxa"/>
            <w:vAlign w:val="bottom"/>
          </w:tcPr>
          <w:p>
            <w:pPr>
              <w:spacing w:after="0"/>
              <w:rPr>
                <w:sz w:val="20"/>
                <w:szCs w:val="20"/>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issuer of the deposited securities</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r>
    </w:tbl>
    <w:p>
      <w:pPr>
        <w:spacing w:after="0" w:line="3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AVAILABLE INFORMATION</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Viomi Technology Co., Ltd (the “Company”) is subject to the periodic reporting requirements of the United States Securities Exchange Act of 1934, as amended, and, accordingly, files certain reports with, and furnishes certain reports to, the United States Securities and Exchange Commission (the “Commission”). These reports can be retrieved from the Commission’s internet website (www.sec.gov) and can be inspected and copied at the public reference facilities maintained by the Commission at 100 F Street, N.E., 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91" w:lineRule="exact"/>
        <w:rPr>
          <w:sz w:val="20"/>
          <w:szCs w:val="20"/>
          <w:color w:val="auto"/>
        </w:rPr>
      </w:pPr>
    </w:p>
    <w:p>
      <w:pPr>
        <w:ind w:left="2240" w:right="40" w:hanging="990"/>
        <w:spacing w:after="0" w:line="276" w:lineRule="auto"/>
        <w:tabs>
          <w:tab w:leader="none" w:pos="2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of Deposit Agreement, by and among the Company, Deutsche Bank Trust Company Americas, as depositary (the “Depositary”), and all holders and beneficial owners from time to time of ADSs issued thereunder (“Deposit Agreement”).</w:t>
      </w:r>
    </w:p>
    <w:p>
      <w:pPr>
        <w:ind w:left="2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Previously filed as Exhibit (a) to Form F-6 (File No. 333-227276) and incorporated herein by reference.</w:t>
      </w:r>
    </w:p>
    <w:p>
      <w:pPr>
        <w:spacing w:after="0" w:line="206" w:lineRule="exact"/>
        <w:rPr>
          <w:rFonts w:ascii="Times New Roman" w:cs="Times New Roman" w:eastAsia="Times New Roman" w:hAnsi="Times New Roman"/>
          <w:sz w:val="17"/>
          <w:szCs w:val="17"/>
          <w:color w:val="auto"/>
        </w:rPr>
      </w:pPr>
    </w:p>
    <w:p>
      <w:pPr>
        <w:ind w:left="2240" w:right="280" w:hanging="990"/>
        <w:spacing w:after="0" w:line="282" w:lineRule="auto"/>
        <w:tabs>
          <w:tab w:leader="none" w:pos="2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 to which the Depositary is a party relating to the issuance of the ADSs registered hereunder or the custody of the deposited securities represented thereby. — Not applicable.</w:t>
      </w:r>
    </w:p>
    <w:p>
      <w:pPr>
        <w:spacing w:after="0" w:line="161" w:lineRule="exact"/>
        <w:rPr>
          <w:rFonts w:ascii="Times New Roman" w:cs="Times New Roman" w:eastAsia="Times New Roman" w:hAnsi="Times New Roman"/>
          <w:sz w:val="18"/>
          <w:szCs w:val="18"/>
          <w:color w:val="auto"/>
        </w:rPr>
      </w:pPr>
    </w:p>
    <w:p>
      <w:pPr>
        <w:ind w:left="2240" w:hanging="990"/>
        <w:spacing w:after="0" w:line="282" w:lineRule="auto"/>
        <w:tabs>
          <w:tab w:leader="none" w:pos="2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material contract relating to the deposited securities between the Depositary and the issuer of the deposited securities in effect at any time within the last three years. — Not applicable.</w:t>
      </w:r>
    </w:p>
    <w:p>
      <w:pPr>
        <w:spacing w:after="0" w:line="161" w:lineRule="exact"/>
        <w:rPr>
          <w:rFonts w:ascii="Times New Roman" w:cs="Times New Roman" w:eastAsia="Times New Roman" w:hAnsi="Times New Roman"/>
          <w:sz w:val="18"/>
          <w:szCs w:val="18"/>
          <w:color w:val="auto"/>
        </w:rPr>
      </w:pPr>
    </w:p>
    <w:p>
      <w:pPr>
        <w:ind w:left="2240" w:right="480" w:hanging="990"/>
        <w:spacing w:after="0" w:line="282" w:lineRule="auto"/>
        <w:tabs>
          <w:tab w:leader="none" w:pos="2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White &amp; Case LLP, counsel to the Depositary, as to the legality of the securities to be registered. — Filed herewith as Exhibit (d).</w:t>
      </w:r>
    </w:p>
    <w:p>
      <w:pPr>
        <w:spacing w:after="0" w:line="161" w:lineRule="exact"/>
        <w:rPr>
          <w:rFonts w:ascii="Times New Roman" w:cs="Times New Roman" w:eastAsia="Times New Roman" w:hAnsi="Times New Roman"/>
          <w:sz w:val="18"/>
          <w:szCs w:val="18"/>
          <w:color w:val="auto"/>
        </w:rPr>
      </w:pPr>
    </w:p>
    <w:p>
      <w:pPr>
        <w:ind w:left="2240" w:hanging="990"/>
        <w:spacing w:after="0"/>
        <w:tabs>
          <w:tab w:leader="none" w:pos="2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under Rule 466. — Filed herewith as Exhibit (e).</w:t>
      </w:r>
    </w:p>
    <w:p>
      <w:pPr>
        <w:spacing w:after="0" w:line="225" w:lineRule="exact"/>
        <w:rPr>
          <w:rFonts w:ascii="Times New Roman" w:cs="Times New Roman" w:eastAsia="Times New Roman" w:hAnsi="Times New Roman"/>
          <w:sz w:val="18"/>
          <w:szCs w:val="18"/>
          <w:color w:val="auto"/>
        </w:rPr>
      </w:pPr>
    </w:p>
    <w:p>
      <w:pPr>
        <w:ind w:left="2240" w:hanging="990"/>
        <w:spacing w:after="0"/>
        <w:tabs>
          <w:tab w:leader="none" w:pos="2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 for certain officers and directors of the Company. — Set forth on the signature pages hereto.</w:t>
      </w:r>
    </w:p>
    <w:p>
      <w:pPr>
        <w:spacing w:after="0" w:line="3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391" w:lineRule="exact"/>
        <w:rPr>
          <w:sz w:val="20"/>
          <w:szCs w:val="20"/>
          <w:color w:val="auto"/>
        </w:rPr>
      </w:pPr>
    </w:p>
    <w:p>
      <w:pPr>
        <w:ind w:left="2240" w:right="60" w:hanging="963"/>
        <w:spacing w:after="0" w:line="261" w:lineRule="auto"/>
        <w:tabs>
          <w:tab w:leader="none" w:pos="2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hereby undertakes to make available at the principal office of the Depositary in the United States, for inspection by holders of the ADRs,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9" w:lineRule="exact"/>
        <w:rPr>
          <w:rFonts w:ascii="Times New Roman" w:cs="Times New Roman" w:eastAsia="Times New Roman" w:hAnsi="Times New Roman"/>
          <w:sz w:val="18"/>
          <w:szCs w:val="18"/>
          <w:color w:val="auto"/>
        </w:rPr>
      </w:pPr>
    </w:p>
    <w:p>
      <w:pPr>
        <w:ind w:left="2240" w:hanging="963"/>
        <w:spacing w:after="0" w:line="261" w:lineRule="auto"/>
        <w:tabs>
          <w:tab w:leader="none" w:pos="2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ADR thirty (30) days before any change in the fee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United States of America on June 5, 2026.</w:t>
      </w:r>
    </w:p>
    <w:p>
      <w:pPr>
        <w:spacing w:after="0" w:line="122" w:lineRule="exact"/>
        <w:rPr>
          <w:sz w:val="20"/>
          <w:szCs w:val="20"/>
          <w:color w:val="auto"/>
        </w:rPr>
      </w:pPr>
    </w:p>
    <w:p>
      <w:pPr>
        <w:jc w:val="both"/>
        <w:ind w:left="5080"/>
        <w:spacing w:after="0" w:line="266" w:lineRule="auto"/>
        <w:rPr>
          <w:sz w:val="20"/>
          <w:szCs w:val="20"/>
          <w:color w:val="auto"/>
        </w:rPr>
      </w:pPr>
      <w:r>
        <w:rPr>
          <w:rFonts w:ascii="Times New Roman" w:cs="Times New Roman" w:eastAsia="Times New Roman" w:hAnsi="Times New Roman"/>
          <w:sz w:val="18"/>
          <w:szCs w:val="18"/>
          <w:color w:val="auto"/>
        </w:rPr>
        <w:t>Legal entity created by the form of Deposit Agreement for the issuance of Receipts for Class A ordinary shares, par value US$0.00001 per share of Viomi Technology Co., Ltd.</w:t>
      </w:r>
    </w:p>
    <w:p>
      <w:pPr>
        <w:spacing w:after="0" w:line="17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 as Depositary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Tompkins</w:t>
            </w:r>
          </w:p>
        </w:tc>
        <w:tc>
          <w:tcPr>
            <w:tcW w:w="64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Michael Tompkins</w:t>
            </w:r>
          </w:p>
        </w:tc>
        <w:tc>
          <w:tcPr>
            <w:tcW w:w="640" w:type="dxa"/>
            <w:vAlign w:val="bottom"/>
          </w:tcPr>
          <w:p>
            <w:pPr>
              <w:spacing w:after="0"/>
              <w:rPr>
                <w:sz w:val="16"/>
                <w:szCs w:val="16"/>
                <w:color w:val="auto"/>
              </w:rPr>
            </w:pPr>
          </w:p>
        </w:tc>
      </w:tr>
      <w:tr>
        <w:trPr>
          <w:trHeight w:val="234"/>
        </w:trPr>
        <w:tc>
          <w:tcPr>
            <w:tcW w:w="59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Pr>
          <w:p>
            <w:pPr>
              <w:spacing w:after="0"/>
              <w:rPr>
                <w:sz w:val="20"/>
                <w:szCs w:val="20"/>
                <w:color w:val="auto"/>
              </w:rPr>
            </w:pPr>
          </w:p>
        </w:tc>
      </w:tr>
      <w:tr>
        <w:trPr>
          <w:trHeight w:val="864"/>
        </w:trPr>
        <w:tc>
          <w:tcPr>
            <w:tcW w:w="594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Daniel Oliver</w:t>
            </w:r>
          </w:p>
        </w:tc>
        <w:tc>
          <w:tcPr>
            <w:tcW w:w="640" w:type="dxa"/>
            <w:vAlign w:val="bottom"/>
          </w:tcPr>
          <w:p>
            <w:pPr>
              <w:spacing w:after="0"/>
              <w:rPr>
                <w:sz w:val="24"/>
                <w:szCs w:val="24"/>
                <w:color w:val="auto"/>
              </w:rPr>
            </w:pPr>
          </w:p>
        </w:tc>
      </w:tr>
      <w:tr>
        <w:trPr>
          <w:trHeight w:val="191"/>
        </w:trPr>
        <w:tc>
          <w:tcPr>
            <w:tcW w:w="5940" w:type="dxa"/>
            <w:vAlign w:val="bottom"/>
          </w:tcPr>
          <w:p>
            <w:pPr>
              <w:spacing w:after="0"/>
              <w:rPr>
                <w:sz w:val="16"/>
                <w:szCs w:val="16"/>
                <w:color w:val="auto"/>
              </w:rPr>
            </w:pPr>
          </w:p>
        </w:tc>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Daniel Oliver</w:t>
            </w:r>
          </w:p>
        </w:tc>
        <w:tc>
          <w:tcPr>
            <w:tcW w:w="640" w:type="dxa"/>
            <w:vAlign w:val="bottom"/>
          </w:tcPr>
          <w:p>
            <w:pPr>
              <w:spacing w:after="0"/>
              <w:rPr>
                <w:sz w:val="16"/>
                <w:szCs w:val="16"/>
                <w:color w:val="auto"/>
              </w:rPr>
            </w:pPr>
          </w:p>
        </w:tc>
      </w:tr>
      <w:tr>
        <w:trPr>
          <w:trHeight w:val="234"/>
        </w:trPr>
        <w:tc>
          <w:tcPr>
            <w:tcW w:w="59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Vice President</w:t>
            </w:r>
          </w:p>
        </w:tc>
        <w:tc>
          <w:tcPr>
            <w:tcW w:w="640" w:type="dxa"/>
            <w:vAlign w:val="bottom"/>
          </w:tcPr>
          <w:p>
            <w:pPr>
              <w:spacing w:after="0"/>
              <w:rPr>
                <w:sz w:val="20"/>
                <w:szCs w:val="20"/>
                <w:color w:val="auto"/>
              </w:rPr>
            </w:pPr>
          </w:p>
        </w:tc>
      </w:tr>
      <w:tr>
        <w:trPr>
          <w:trHeight w:val="398"/>
        </w:trPr>
        <w:tc>
          <w:tcPr>
            <w:tcW w:w="5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all the requirements for filing on Form F-6 are met and has duly caused this registration statement on Form F-6 to be signed on its behalf by the undersigned, thereunto duly authorized, in Guangzhou, the People’s Republic of China, on June 5, 2026.</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Viomi Technology Co., Ltd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By:</w:t>
            </w: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Xiaoping Chen</w:t>
            </w:r>
          </w:p>
        </w:tc>
      </w:tr>
      <w:tr>
        <w:trPr>
          <w:trHeight w:val="191"/>
        </w:trPr>
        <w:tc>
          <w:tcPr>
            <w:tcW w:w="544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Xiaoping Chen</w:t>
            </w:r>
          </w:p>
        </w:tc>
        <w:tc>
          <w:tcPr>
            <w:tcW w:w="600" w:type="dxa"/>
            <w:vAlign w:val="bottom"/>
          </w:tcPr>
          <w:p>
            <w:pPr>
              <w:spacing w:after="0"/>
              <w:rPr>
                <w:sz w:val="16"/>
                <w:szCs w:val="16"/>
                <w:color w:val="auto"/>
              </w:rPr>
            </w:pPr>
          </w:p>
        </w:tc>
      </w:tr>
      <w:tr>
        <w:trPr>
          <w:trHeight w:val="216"/>
        </w:trPr>
        <w:tc>
          <w:tcPr>
            <w:tcW w:w="54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of the Board of Directors and Chief Executive</w:t>
            </w:r>
          </w:p>
        </w:tc>
      </w:tr>
      <w:tr>
        <w:trPr>
          <w:trHeight w:val="234"/>
        </w:trPr>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Officer</w:t>
            </w:r>
          </w:p>
        </w:tc>
      </w:tr>
      <w:tr>
        <w:trPr>
          <w:trHeight w:val="183"/>
        </w:trPr>
        <w:tc>
          <w:tcPr>
            <w:tcW w:w="5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Xiaoping Chen,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 true and lawful attorney-in-fact and agent,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of 1933, as amended,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spacing w:after="0" w:line="13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requirements of the Securities Act of 1933, as amended, this registration statement has been signed by the following persons on June 5, 2026, in the capacities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4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940" w:type="dxa"/>
            <w:vAlign w:val="bottom"/>
          </w:tcPr>
          <w:p>
            <w:pPr>
              <w:spacing w:after="0"/>
              <w:rPr>
                <w:sz w:val="21"/>
                <w:szCs w:val="21"/>
                <w:color w:val="auto"/>
              </w:rPr>
            </w:pPr>
          </w:p>
        </w:tc>
        <w:tc>
          <w:tcPr>
            <w:tcW w:w="51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414"/>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Xiaoping Chen</w:t>
            </w:r>
          </w:p>
        </w:tc>
        <w:tc>
          <w:tcPr>
            <w:tcW w:w="60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c>
          <w:tcPr>
            <w:tcW w:w="0" w:type="dxa"/>
            <w:vAlign w:val="bottom"/>
          </w:tcPr>
          <w:p>
            <w:pPr>
              <w:spacing w:after="0"/>
              <w:rPr>
                <w:sz w:val="1"/>
                <w:szCs w:val="1"/>
                <w:color w:val="auto"/>
              </w:rPr>
            </w:pPr>
          </w:p>
        </w:tc>
      </w:tr>
      <w:tr>
        <w:trPr>
          <w:trHeight w:val="226"/>
        </w:trPr>
        <w:tc>
          <w:tcPr>
            <w:tcW w:w="5160" w:type="dxa"/>
            <w:vAlign w:val="bottom"/>
            <w:tcBorders>
              <w:bottom w:val="single" w:sz="8" w:color="auto"/>
            </w:tcBorders>
            <w:gridSpan w:val="2"/>
            <w:vMerge w:val="continue"/>
          </w:tcPr>
          <w:p>
            <w:pPr>
              <w:spacing w:after="0"/>
              <w:rPr>
                <w:sz w:val="19"/>
                <w:szCs w:val="19"/>
                <w:color w:val="auto"/>
              </w:rPr>
            </w:pPr>
          </w:p>
        </w:tc>
        <w:tc>
          <w:tcPr>
            <w:tcW w:w="60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Xiaoping Chen</w:t>
            </w:r>
          </w:p>
        </w:tc>
        <w:tc>
          <w:tcPr>
            <w:tcW w:w="9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Qian Sun</w:t>
            </w:r>
          </w:p>
        </w:tc>
        <w:tc>
          <w:tcPr>
            <w:tcW w:w="4220" w:type="dxa"/>
            <w:vAlign w:val="bottom"/>
            <w:tcBorders>
              <w:bottom w:val="single" w:sz="8" w:color="auto"/>
            </w:tcBorders>
          </w:tcPr>
          <w:p>
            <w:pPr>
              <w:spacing w:after="0"/>
              <w:rPr>
                <w:sz w:val="24"/>
                <w:szCs w:val="24"/>
                <w:color w:val="auto"/>
              </w:rPr>
            </w:pPr>
          </w:p>
        </w:tc>
        <w:tc>
          <w:tcPr>
            <w:tcW w:w="60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Qian Sun</w:t>
            </w:r>
          </w:p>
        </w:tc>
        <w:tc>
          <w:tcPr>
            <w:tcW w:w="9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Jinling Zhang</w:t>
            </w:r>
          </w:p>
        </w:tc>
        <w:tc>
          <w:tcPr>
            <w:tcW w:w="60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Independent Director</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Jinling Zhang</w:t>
            </w:r>
          </w:p>
        </w:tc>
        <w:tc>
          <w:tcPr>
            <w:tcW w:w="9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Weijiang Wu</w:t>
            </w:r>
          </w:p>
        </w:tc>
        <w:tc>
          <w:tcPr>
            <w:tcW w:w="60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Independent Director</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Weijiang Wu</w:t>
            </w:r>
          </w:p>
        </w:tc>
        <w:tc>
          <w:tcPr>
            <w:tcW w:w="9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Jun Li</w:t>
            </w:r>
          </w:p>
        </w:tc>
        <w:tc>
          <w:tcPr>
            <w:tcW w:w="4220" w:type="dxa"/>
            <w:vAlign w:val="bottom"/>
            <w:tcBorders>
              <w:bottom w:val="single" w:sz="8" w:color="auto"/>
            </w:tcBorders>
          </w:tcPr>
          <w:p>
            <w:pPr>
              <w:spacing w:after="0"/>
              <w:rPr>
                <w:sz w:val="24"/>
                <w:szCs w:val="24"/>
                <w:color w:val="auto"/>
              </w:rPr>
            </w:pPr>
          </w:p>
        </w:tc>
        <w:tc>
          <w:tcPr>
            <w:tcW w:w="60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Independent Director</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 Li</w:t>
            </w:r>
          </w:p>
        </w:tc>
        <w:tc>
          <w:tcPr>
            <w:tcW w:w="9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9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Viomi Technology Co. Ltd, has signed this registration statement in Newark, Delaware, United States of America on June 5, 2026.</w:t>
      </w:r>
    </w:p>
    <w:p>
      <w:pPr>
        <w:spacing w:after="0" w:line="10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Donald J. Puglisi</w:t>
            </w:r>
          </w:p>
        </w:tc>
        <w:tc>
          <w:tcPr>
            <w:tcW w:w="600" w:type="dxa"/>
            <w:vAlign w:val="bottom"/>
          </w:tcPr>
          <w:p>
            <w:pPr>
              <w:spacing w:after="0"/>
              <w:rPr>
                <w:sz w:val="20"/>
                <w:szCs w:val="20"/>
                <w:color w:val="auto"/>
              </w:rPr>
            </w:pPr>
          </w:p>
        </w:tc>
      </w:tr>
      <w:tr>
        <w:trPr>
          <w:trHeight w:val="191"/>
        </w:trPr>
        <w:tc>
          <w:tcPr>
            <w:tcW w:w="548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Donald J. Puglisi</w:t>
            </w:r>
          </w:p>
        </w:tc>
        <w:tc>
          <w:tcPr>
            <w:tcW w:w="600" w:type="dxa"/>
            <w:vAlign w:val="bottom"/>
          </w:tcPr>
          <w:p>
            <w:pPr>
              <w:spacing w:after="0"/>
              <w:rPr>
                <w:sz w:val="16"/>
                <w:szCs w:val="16"/>
                <w:color w:val="auto"/>
              </w:rPr>
            </w:pPr>
          </w:p>
        </w:tc>
      </w:tr>
      <w:tr>
        <w:trPr>
          <w:trHeight w:val="234"/>
        </w:trPr>
        <w:tc>
          <w:tcPr>
            <w:tcW w:w="5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Managing Director</w:t>
            </w:r>
          </w:p>
        </w:tc>
        <w:tc>
          <w:tcPr>
            <w:tcW w:w="600" w:type="dxa"/>
            <w:vAlign w:val="bottom"/>
          </w:tcPr>
          <w:p>
            <w:pPr>
              <w:spacing w:after="0"/>
              <w:rPr>
                <w:sz w:val="20"/>
                <w:szCs w:val="20"/>
                <w:color w:val="auto"/>
              </w:rPr>
            </w:pPr>
          </w:p>
        </w:tc>
      </w:tr>
      <w:tr>
        <w:trPr>
          <w:trHeight w:val="614"/>
        </w:trPr>
        <w:tc>
          <w:tcPr>
            <w:tcW w:w="5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846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85"/>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46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w:t>
            </w:r>
          </w:p>
        </w:tc>
        <w:tc>
          <w:tcPr>
            <w:tcW w:w="8460" w:type="dxa"/>
            <w:vAlign w:val="bottom"/>
          </w:tcPr>
          <w:p>
            <w:pPr>
              <w:ind w:left="2840"/>
              <w:spacing w:after="0" w:line="198" w:lineRule="exact"/>
              <w:rPr>
                <w:sz w:val="20"/>
                <w:szCs w:val="20"/>
                <w:color w:val="auto"/>
              </w:rPr>
            </w:pPr>
            <w:r>
              <w:rPr>
                <w:rFonts w:ascii="Times New Roman" w:cs="Times New Roman" w:eastAsia="Times New Roman" w:hAnsi="Times New Roman"/>
                <w:sz w:val="18"/>
                <w:szCs w:val="18"/>
                <w:color w:val="auto"/>
              </w:rPr>
              <w:t>Opinion of White &amp; Case LLP, counsel to the Depositary</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846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Certification under Rule 466</w:t>
            </w:r>
          </w:p>
        </w:tc>
      </w:tr>
    </w:tbl>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 under the Deposit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refer to the Registration Statement on Form F-6 filed on June 5, 2026 with the Securities and Exchange Commission (the “Registration Statement”) relating to American Depositary Shares (“ADSs”) evidenced by American Depositary Receipts (“Receipts”), each ADS representing three Class A ordinary shares of Viomi Technology Co., Ltd, a company incorporated in the Cayman Islands (the “Company”).</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rendering the opinions set forth herein, we have assumed that (i) the Deposit Agreement appearing as Exhibit (a) to the Registration Statement (the “Deposit Agreement”) has been duly authorized, executed and delivered by the Company and constitutes a valid and legally binding obligation of the Company enforceable against it in accordance with its terms, (ii) the relevant Deposited Securities (as defined in the Deposit Agreement) will have been duly deposited with a custodian under and in accordance with the Deposit Agreement and all applicable laws and regulations, (iii) the choice of New York law contained in the Deposit Agreement is legal and valid under the laws of the Cayman Islands and (iv) insofar as any obligation under the Deposit Agreement is to be performed in, or by a party organized under the laws of, any jurisdiction outside of the United States of America, its performance will not be illegal or ineffective in any jurisdiction by virtue of the law of that jurisdiction.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ADSs covered by the Registration Statement, when evidenced by Receipts that are duly executed and delivered by the Depositary (as defined in the Deposit Agreement) and issued in accordance with the terms of the Deposit Agreement, will be validly issued and will entitle the registered holders thereof to the rights specified in the Deposit Agreement and those Receipts.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opinion is limited to the laws of the State of New York and we express no opinion as to the laws of any other jurisdiction.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the use of this opinion as Exhibit (d) to the Registration Statement. In giving such consent, we do not admit hereby that we are within the category of persons whose consent is required under Section 7 of the Securities Act of 1933.</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MB:KK:GB</w:t>
      </w:r>
    </w:p>
    <w:p>
      <w:pPr>
        <w:sectPr>
          <w:pgSz w:w="11900" w:h="16838" w:orient="portrait"/>
          <w:cols w:equalWidth="0" w:num="1">
            <w:col w:w="11240"/>
          </w:cols>
          <w:pgMar w:left="320" w:top="121" w:right="339" w:bottom="1440" w:gutter="0" w:footer="0" w:header="0"/>
        </w:sectPr>
      </w:pPr>
    </w:p>
    <w:bookmarkStart w:id="9" w:name="page10"/>
    <w:bookmarkEnd w:id="9"/>
    <w:p>
      <w:pPr>
        <w:ind w:left="4520"/>
        <w:spacing w:after="0"/>
        <w:rPr>
          <w:sz w:val="20"/>
          <w:szCs w:val="20"/>
          <w:color w:val="auto"/>
        </w:rPr>
      </w:pPr>
      <w:r>
        <w:rPr>
          <w:rFonts w:ascii="Times New Roman" w:cs="Times New Roman" w:eastAsia="Times New Roman" w:hAnsi="Times New Roman"/>
          <w:sz w:val="18"/>
          <w:szCs w:val="18"/>
          <w:b w:val="1"/>
          <w:bCs w:val="1"/>
          <w:color w:val="auto"/>
        </w:rPr>
        <w:t>Certification under Rule 466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Deutsche Bank Trust Company Americas, represents and certifies the following:</w:t>
      </w:r>
    </w:p>
    <w:p>
      <w:pPr>
        <w:spacing w:after="0" w:line="171" w:lineRule="exact"/>
        <w:rPr>
          <w:sz w:val="20"/>
          <w:szCs w:val="20"/>
          <w:color w:val="auto"/>
        </w:rPr>
      </w:pPr>
    </w:p>
    <w:p>
      <w:pPr>
        <w:ind w:firstLine="656"/>
        <w:spacing w:after="0" w:line="282" w:lineRule="auto"/>
        <w:tabs>
          <w:tab w:leader="none" w:pos="9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previously had filed a registration statement on Form F-6 (Viomi Technology Co., Ltd, File No. 333-227276) which the U.S. Securities and Exchange Commission declared effective, with terms of deposit identical to the terms of deposit of this Form F-6 registration statement; and</w:t>
      </w:r>
    </w:p>
    <w:p>
      <w:pPr>
        <w:spacing w:after="0" w:line="10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ability to designate the date and time of effectiveness under Rule 466 has not been suspended.</w:t>
      </w:r>
    </w:p>
    <w:p>
      <w:pPr>
        <w:spacing w:after="0" w:line="200" w:lineRule="exact"/>
        <w:rPr>
          <w:sz w:val="20"/>
          <w:szCs w:val="20"/>
          <w:color w:val="auto"/>
        </w:rPr>
      </w:pPr>
    </w:p>
    <w:p>
      <w:pPr>
        <w:spacing w:after="0" w:line="3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 solely in</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its capacity as Depositary</w:t>
      </w:r>
    </w:p>
    <w:p>
      <w:pPr>
        <w:spacing w:after="0" w:line="200" w:lineRule="exact"/>
        <w:rPr>
          <w:sz w:val="20"/>
          <w:szCs w:val="20"/>
          <w:color w:val="auto"/>
        </w:rPr>
      </w:pPr>
    </w:p>
    <w:p>
      <w:pPr>
        <w:spacing w:after="0" w:line="223" w:lineRule="exact"/>
        <w:rPr>
          <w:sz w:val="20"/>
          <w:szCs w:val="20"/>
          <w:color w:val="auto"/>
        </w:rPr>
      </w:pPr>
    </w:p>
    <w:tbl>
      <w:tblPr>
        <w:tblLayout w:type="fixed"/>
        <w:tblInd w:w="55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Tompkins</w:t>
            </w:r>
          </w:p>
        </w:tc>
      </w:tr>
      <w:tr>
        <w:trPr>
          <w:trHeight w:val="191"/>
        </w:trPr>
        <w:tc>
          <w:tcPr>
            <w:tcW w:w="760" w:type="dxa"/>
            <w:vAlign w:val="bottom"/>
          </w:tcPr>
          <w:p>
            <w:pPr>
              <w:spacing w:after="0"/>
              <w:rPr>
                <w:sz w:val="16"/>
                <w:szCs w:val="16"/>
                <w:color w:val="auto"/>
              </w:rPr>
            </w:pPr>
          </w:p>
        </w:tc>
        <w:tc>
          <w:tcPr>
            <w:tcW w:w="4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Michael Tompkins</w:t>
            </w:r>
          </w:p>
        </w:tc>
      </w:tr>
      <w:tr>
        <w:trPr>
          <w:trHeight w:val="234"/>
        </w:trPr>
        <w:tc>
          <w:tcPr>
            <w:tcW w:w="76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Daniel Oliver</w:t>
            </w:r>
          </w:p>
        </w:tc>
      </w:tr>
      <w:tr>
        <w:trPr>
          <w:trHeight w:val="191"/>
        </w:trPr>
        <w:tc>
          <w:tcPr>
            <w:tcW w:w="760" w:type="dxa"/>
            <w:vAlign w:val="bottom"/>
          </w:tcPr>
          <w:p>
            <w:pPr>
              <w:spacing w:after="0"/>
              <w:rPr>
                <w:sz w:val="16"/>
                <w:szCs w:val="16"/>
                <w:color w:val="auto"/>
              </w:rPr>
            </w:pPr>
          </w:p>
        </w:tc>
        <w:tc>
          <w:tcPr>
            <w:tcW w:w="4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Daniel Oliver</w:t>
            </w:r>
          </w:p>
        </w:tc>
      </w:tr>
      <w:tr>
        <w:trPr>
          <w:trHeight w:val="234"/>
        </w:trPr>
        <w:tc>
          <w:tcPr>
            <w:tcW w:w="76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2026-06-05T07:46:19Z</dcterms:created>
  <dcterms:modified xsi:type="dcterms:W3CDTF">2026-06-05T07:46:19Z</dcterms:modified>
</cp:coreProperties>
</file>