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20-F</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08" w:lineRule="exact"/>
        <w:rPr>
          <w:sz w:val="24"/>
          <w:szCs w:val="24"/>
          <w:color w:val="auto"/>
        </w:rPr>
      </w:pPr>
    </w:p>
    <w:p>
      <w:pPr>
        <w:ind w:left="5500" w:right="2200" w:hanging="5499"/>
        <w:spacing w:after="0" w:line="471" w:lineRule="auto"/>
        <w:tabs>
          <w:tab w:leader="none" w:pos="18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REGISTRATION STATEMENT PURSUANT TO SECTION 12(b) OR 12(g) OF THE SECURITIES EXCHANGE ACT OF 1934 OR</w:t>
      </w:r>
    </w:p>
    <w:p>
      <w:pPr>
        <w:spacing w:after="0" w:line="40" w:lineRule="exact"/>
        <w:rPr>
          <w:sz w:val="24"/>
          <w:szCs w:val="24"/>
          <w:color w:val="auto"/>
        </w:rPr>
      </w:pPr>
    </w:p>
    <w:p>
      <w:pPr>
        <w:ind w:left="4100" w:right="3240" w:hanging="4099"/>
        <w:spacing w:after="0" w:line="495" w:lineRule="auto"/>
        <w:tabs>
          <w:tab w:leader="none" w:pos="19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208" w:lineRule="exact"/>
        <w:rPr>
          <w:sz w:val="24"/>
          <w:szCs w:val="24"/>
          <w:color w:val="auto"/>
        </w:rPr>
      </w:pPr>
    </w:p>
    <w:p>
      <w:pPr>
        <w:ind w:left="5500" w:right="2940" w:hanging="5499"/>
        <w:spacing w:after="0" w:line="471" w:lineRule="auto"/>
        <w:tabs>
          <w:tab w:leader="none" w:pos="184"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OR</w:t>
      </w:r>
    </w:p>
    <w:p>
      <w:pPr>
        <w:spacing w:after="0" w:line="39" w:lineRule="exact"/>
        <w:rPr>
          <w:rFonts w:ascii="MS PGothic" w:cs="MS PGothic" w:eastAsia="MS PGothic" w:hAnsi="MS PGothic"/>
          <w:sz w:val="17"/>
          <w:szCs w:val="17"/>
          <w:color w:val="auto"/>
        </w:rPr>
      </w:pPr>
    </w:p>
    <w:p>
      <w:pPr>
        <w:ind w:left="200" w:hanging="199"/>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SHELL COMPANY REPORT PURSUANT TO SECTION 13 OR 15(d) OF THE SECURITIES EXCHANGE ACT OF 1934</w:t>
      </w:r>
    </w:p>
    <w:p>
      <w:pPr>
        <w:spacing w:after="0" w:line="20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color w:val="auto"/>
        </w:rPr>
        <w:t>Date of event requiring this shell company report_______</w:t>
      </w:r>
    </w:p>
    <w:p>
      <w:pPr>
        <w:spacing w:after="0" w:line="204" w:lineRule="exact"/>
        <w:rPr>
          <w:sz w:val="24"/>
          <w:szCs w:val="24"/>
          <w:color w:val="auto"/>
        </w:rPr>
      </w:pPr>
    </w:p>
    <w:p>
      <w:pPr>
        <w:ind w:left="3940"/>
        <w:spacing w:after="0"/>
        <w:tabs>
          <w:tab w:leader="none" w:pos="65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001-38649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Viomi Technology Co., Ltd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(Jurisdiction of Incorporation or Organization)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Wansheng Square, Rm 1302 Tower C, Xingang East Road, Haizhu District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Guangzhou, Guangdong, 510220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Xiaoping Chen, Chief Executive Officer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Wansheng Square, Rm 1302 Tower C, Xingang East Road, Haizhu District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Guangzhou, Guangdong, 510220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Phone: +86 20 8930 9496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Email: </w:t>
      </w:r>
      <w:r>
        <w:rPr>
          <w:rFonts w:ascii="Times New Roman" w:cs="Times New Roman" w:eastAsia="Times New Roman" w:hAnsi="Times New Roman"/>
          <w:sz w:val="17"/>
          <w:szCs w:val="17"/>
          <w:b w:val="1"/>
          <w:bCs w:val="1"/>
          <w:u w:val="single" w:color="auto"/>
          <w:color w:val="auto"/>
        </w:rPr>
        <w:t>chenxp@viomi.com</w:t>
      </w:r>
    </w:p>
    <w:p>
      <w:pPr>
        <w:spacing w:after="0" w:line="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color w:val="auto"/>
        </w:rPr>
        <w:t>(Name, Telephone, E-mail and/or Facsimile number and Address of Company Contact Person)</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20" w:type="dxa"/>
            <w:vAlign w:val="bottom"/>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Trading Symbol</w:t>
            </w:r>
          </w:p>
        </w:tc>
        <w:tc>
          <w:tcPr>
            <w:tcW w:w="220" w:type="dxa"/>
            <w:vAlign w:val="bottom"/>
          </w:tcPr>
          <w:p>
            <w:pPr>
              <w:spacing w:after="0"/>
              <w:rPr>
                <w:sz w:val="19"/>
                <w:szCs w:val="19"/>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American depositary shares, each representing three Class A</w:t>
            </w: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6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Stock Market LLC</w:t>
            </w:r>
          </w:p>
        </w:tc>
        <w:tc>
          <w:tcPr>
            <w:tcW w:w="0" w:type="dxa"/>
            <w:vAlign w:val="bottom"/>
          </w:tcPr>
          <w:p>
            <w:pPr>
              <w:spacing w:after="0"/>
              <w:rPr>
                <w:sz w:val="1"/>
                <w:szCs w:val="1"/>
                <w:color w:val="auto"/>
              </w:rPr>
            </w:pPr>
          </w:p>
        </w:tc>
      </w:tr>
      <w:tr>
        <w:trPr>
          <w:trHeight w:val="218"/>
        </w:trPr>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ordinary shares</w:t>
            </w: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VIOT</w:t>
            </w: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Global Select Market)</w:t>
            </w:r>
          </w:p>
        </w:tc>
        <w:tc>
          <w:tcPr>
            <w:tcW w:w="0" w:type="dxa"/>
            <w:vAlign w:val="bottom"/>
          </w:tcPr>
          <w:p>
            <w:pPr>
              <w:spacing w:after="0"/>
              <w:rPr>
                <w:sz w:val="1"/>
                <w:szCs w:val="1"/>
                <w:color w:val="auto"/>
              </w:rPr>
            </w:pPr>
          </w:p>
        </w:tc>
      </w:tr>
      <w:tr>
        <w:trPr>
          <w:trHeight w:val="38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Class A ordinary shares, par value US$0.00001 per share</w:t>
            </w:r>
            <w:r>
              <w:rPr>
                <w:rFonts w:ascii="Times New Roman" w:cs="Times New Roman" w:eastAsia="Times New Roman" w:hAnsi="Times New Roman"/>
                <w:sz w:val="28"/>
                <w:szCs w:val="28"/>
                <w:color w:val="auto"/>
                <w:w w:val="98"/>
                <w:vertAlign w:val="superscript"/>
              </w:rPr>
              <w:t>*</w:t>
            </w: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Stock Market LLC</w:t>
            </w:r>
          </w:p>
        </w:tc>
        <w:tc>
          <w:tcPr>
            <w:tcW w:w="0" w:type="dxa"/>
            <w:vAlign w:val="bottom"/>
          </w:tcPr>
          <w:p>
            <w:pPr>
              <w:spacing w:after="0"/>
              <w:rPr>
                <w:sz w:val="1"/>
                <w:szCs w:val="1"/>
                <w:color w:val="auto"/>
              </w:rPr>
            </w:pPr>
          </w:p>
        </w:tc>
      </w:tr>
      <w:tr>
        <w:trPr>
          <w:trHeight w:val="334"/>
        </w:trPr>
        <w:tc>
          <w:tcPr>
            <w:tcW w:w="4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Global Select Market)</w:t>
            </w:r>
          </w:p>
        </w:tc>
        <w:tc>
          <w:tcPr>
            <w:tcW w:w="0" w:type="dxa"/>
            <w:vAlign w:val="bottom"/>
          </w:tcPr>
          <w:p>
            <w:pPr>
              <w:spacing w:after="0"/>
              <w:rPr>
                <w:sz w:val="1"/>
                <w:szCs w:val="1"/>
                <w:color w:val="auto"/>
              </w:rPr>
            </w:pPr>
          </w:p>
        </w:tc>
      </w:tr>
    </w:tbl>
    <w:p>
      <w:pPr>
        <w:spacing w:after="0" w:line="70" w:lineRule="exact"/>
        <w:rPr>
          <w:sz w:val="24"/>
          <w:szCs w:val="24"/>
          <w:color w:val="auto"/>
        </w:rPr>
      </w:pPr>
    </w:p>
    <w:p>
      <w:pPr>
        <w:ind w:right="3380" w:firstLine="1"/>
        <w:spacing w:after="0" w:line="492" w:lineRule="auto"/>
        <w:tabs>
          <w:tab w:leader="none" w:pos="12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listing on the Nasdaq Stock Market of American depositary shares. Securities registered or to be registered pursuant to Section 12(g) of the Act: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(Title of Class)</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for which there is a reporting obligation pursuant to Section 15(d) of the Act:</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(Title of Class)</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ectPr>
          <w:pgSz w:w="11900" w:h="16838" w:orient="portrait"/>
          <w:cols w:equalWidth="0" w:num="1">
            <w:col w:w="11240"/>
          </w:cols>
          <w:pgMar w:left="320" w:top="700" w:right="339" w:bottom="31"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there were 201,965,189 ordinary shares issued and outstanding, being the sum of (i) 99,200,641 Class A ordinary shares, par value US$0.00001 per share (excluding 12,475,923 Class A ordinary shares that were issued to our depositary bank and reserved for future grants under our share incentive plans and 15,703,314 Class A ordinary shares that were repurchased by us), and (ii) 102,764,548 Class B ordinary shares, par value US$0.00001 per share.</w:t>
      </w:r>
    </w:p>
    <w:p>
      <w:pPr>
        <w:spacing w:after="0" w:line="13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4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Note – Checking the box above will not relieve any registrant required to file reports pursuant to Section 13 or 15(d) of the Securities Exchange Act of 1934 from their obligations under those Sections.</w:t>
      </w:r>
    </w:p>
    <w:p>
      <w:pPr>
        <w:spacing w:after="0" w:line="159"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2"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123" w:right="339" w:bottom="1440" w:gutter="0" w:footer="0" w:header="0"/>
        </w:sectPr>
      </w:pPr>
    </w:p>
    <w:p>
      <w:pPr>
        <w:spacing w:after="0" w:line="121" w:lineRule="exact"/>
        <w:rPr>
          <w:sz w:val="20"/>
          <w:szCs w:val="20"/>
          <w:color w:val="auto"/>
        </w:rPr>
      </w:pPr>
    </w:p>
    <w:p>
      <w:pPr>
        <w:ind w:left="310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4" w:lineRule="exact"/>
        <w:rPr>
          <w:sz w:val="20"/>
          <w:szCs w:val="20"/>
          <w:color w:val="auto"/>
        </w:rPr>
      </w:pPr>
    </w:p>
    <w:p>
      <w:pPr>
        <w:ind w:left="31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29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2" w:lineRule="exact"/>
        <w:rPr>
          <w:sz w:val="20"/>
          <w:szCs w:val="20"/>
          <w:color w:val="auto"/>
        </w:rPr>
      </w:pPr>
    </w:p>
    <w:p>
      <w:pPr>
        <w:jc w:val="center"/>
        <w:ind w:right="29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1" w:lineRule="exact"/>
        <w:rPr>
          <w:sz w:val="20"/>
          <w:szCs w:val="20"/>
          <w:color w:val="auto"/>
        </w:rPr>
      </w:pPr>
    </w:p>
    <w:p>
      <w:pPr>
        <w:sectPr>
          <w:pgSz w:w="11900" w:h="16838" w:orient="portrait"/>
          <w:cols w:equalWidth="0" w:num="2">
            <w:col w:w="5580" w:space="720"/>
            <w:col w:w="4940"/>
          </w:cols>
          <w:pgMar w:left="320" w:top="123" w:right="339" w:bottom="1440" w:gutter="0" w:footer="0" w:header="0"/>
          <w:type w:val="continuous"/>
        </w:sect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0" w:lineRule="exact"/>
        <w:rPr>
          <w:sz w:val="20"/>
          <w:szCs w:val="20"/>
          <w:color w:val="auto"/>
        </w:rPr>
      </w:pPr>
    </w:p>
    <w:p>
      <w:pPr>
        <w:ind w:firstLine="1"/>
        <w:spacing w:after="0" w:line="274" w:lineRule="auto"/>
        <w:tabs>
          <w:tab w:leader="none" w:pos="10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 Codification after April 5, 2012.</w:t>
      </w:r>
    </w:p>
    <w:p>
      <w:pPr>
        <w:spacing w:after="0" w:line="159"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2"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pacing w:after="0" w:line="170" w:lineRule="exact"/>
        <w:rPr>
          <w:sz w:val="20"/>
          <w:szCs w:val="20"/>
          <w:color w:val="auto"/>
        </w:rPr>
      </w:pPr>
    </w:p>
    <w:p>
      <w:pPr>
        <w:ind w:left="520"/>
        <w:spacing w:after="0" w:line="196" w:lineRule="exact"/>
        <w:tabs>
          <w:tab w:leader="none" w:pos="2100" w:val="left"/>
          <w:tab w:leader="none" w:pos="9980" w:val="left"/>
        </w:tabs>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208"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17"/>
          <w:szCs w:val="17"/>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17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Item 18</w:t>
      </w:r>
    </w:p>
    <w:p>
      <w:pPr>
        <w:spacing w:after="0" w:line="12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this is an annual report, 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ONLY TO ISSUERS INVOLVED IN BANKRUPTCY PROCEEDINGS DURING THE PAST FIVE YEARS)</w:t>
      </w:r>
    </w:p>
    <w:p>
      <w:pPr>
        <w:spacing w:after="0" w:line="208"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432435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20" w:type="dxa"/>
            <w:vAlign w:val="bottom"/>
            <w:gridSpan w:val="14"/>
          </w:tcPr>
          <w:p>
            <w:pPr>
              <w:ind w:left="1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260" w:type="dxa"/>
            <w:vAlign w:val="bottom"/>
            <w:tcBorders>
              <w:bottom w:val="single" w:sz="8" w:color="0000EE"/>
            </w:tcBorders>
            <w:gridSpan w:val="3"/>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96"/>
              </w:rPr>
              <w:t>INTRODUCTION</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ind w:left="776"/>
              <w:spacing w:after="0" w:line="164"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760" w:type="dxa"/>
            <w:vAlign w:val="bottom"/>
            <w:gridSpan w:val="28"/>
          </w:tcPr>
          <w:p>
            <w:pPr>
              <w:spacing w:after="0" w:line="164" w:lineRule="exact"/>
              <w:rPr>
                <w:sz w:val="20"/>
                <w:szCs w:val="20"/>
                <w:color w:val="auto"/>
              </w:rPr>
            </w:pPr>
            <w:r>
              <w:rPr>
                <w:rFonts w:ascii="Times New Roman" w:cs="Times New Roman" w:eastAsia="Times New Roman" w:hAnsi="Times New Roman"/>
                <w:sz w:val="17"/>
                <w:szCs w:val="17"/>
                <w:color w:val="0000EE"/>
              </w:rPr>
              <w:t>FORWARD-LOOKING STATEMENTS</w:t>
            </w:r>
          </w:p>
        </w:tc>
        <w:tc>
          <w:tcPr>
            <w:tcW w:w="1460" w:type="dxa"/>
            <w:vAlign w:val="bottom"/>
          </w:tcPr>
          <w:p>
            <w:pPr>
              <w:jc w:val="center"/>
              <w:ind w:left="776"/>
              <w:spacing w:after="0" w:line="16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Borders>
              <w:top w:val="single" w:sz="8" w:color="0000EE"/>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PART I</w:t>
            </w:r>
          </w:p>
        </w:tc>
        <w:tc>
          <w:tcPr>
            <w:tcW w:w="780" w:type="dxa"/>
            <w:vAlign w:val="bottom"/>
            <w:tcBorders>
              <w:top w:val="single" w:sz="8" w:color="0000EE"/>
            </w:tcBorders>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60" w:type="dxa"/>
            <w:vAlign w:val="bottom"/>
            <w:shd w:val="clear" w:color="auto" w:fill="CCEEFF"/>
          </w:tcPr>
          <w:p>
            <w:pPr>
              <w:jc w:val="center"/>
              <w:ind w:left="776"/>
              <w:spacing w:after="0" w:line="182"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tcBorders>
              <w:right w:val="single" w:sz="8" w:color="CCEEFF"/>
            </w:tcBorders>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w:t>
            </w:r>
          </w:p>
        </w:tc>
        <w:tc>
          <w:tcPr>
            <w:tcW w:w="5240" w:type="dxa"/>
            <w:vAlign w:val="bottom"/>
            <w:tcBorders>
              <w:bottom w:val="single" w:sz="8" w:color="0000EE"/>
            </w:tcBorders>
            <w:gridSpan w:val="18"/>
          </w:tcPr>
          <w:p>
            <w:pPr>
              <w:spacing w:after="0" w:line="164" w:lineRule="exact"/>
              <w:rPr>
                <w:sz w:val="20"/>
                <w:szCs w:val="20"/>
                <w:color w:val="auto"/>
              </w:rPr>
            </w:pPr>
            <w:r>
              <w:rPr>
                <w:rFonts w:ascii="Times New Roman" w:cs="Times New Roman" w:eastAsia="Times New Roman" w:hAnsi="Times New Roman"/>
                <w:sz w:val="17"/>
                <w:szCs w:val="17"/>
                <w:color w:val="0000EE"/>
                <w:w w:val="98"/>
              </w:rPr>
              <w:t>IDENTITY OF DIRECTORS, SENIOR MANAGEMENT AND ADVISERS</w:t>
            </w:r>
          </w:p>
        </w:tc>
        <w:tc>
          <w:tcPr>
            <w:tcW w:w="3160" w:type="dxa"/>
            <w:vAlign w:val="bottom"/>
            <w:gridSpan w:val="6"/>
          </w:tcPr>
          <w:p>
            <w:pPr>
              <w:spacing w:after="0"/>
              <w:rPr>
                <w:sz w:val="15"/>
                <w:szCs w:val="15"/>
                <w:color w:val="auto"/>
              </w:rPr>
            </w:pPr>
          </w:p>
        </w:tc>
        <w:tc>
          <w:tcPr>
            <w:tcW w:w="1460" w:type="dxa"/>
            <w:vAlign w:val="bottom"/>
          </w:tcPr>
          <w:p>
            <w:pPr>
              <w:jc w:val="center"/>
              <w:ind w:left="776"/>
              <w:spacing w:after="0" w:line="16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2.</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OFFER STATISTICS AND EXPECTED TIMETABLE</w:t>
            </w:r>
          </w:p>
        </w:tc>
        <w:tc>
          <w:tcPr>
            <w:tcW w:w="1460" w:type="dxa"/>
            <w:vAlign w:val="bottom"/>
            <w:shd w:val="clear" w:color="auto" w:fill="CCEEFF"/>
          </w:tcPr>
          <w:p>
            <w:pPr>
              <w:jc w:val="center"/>
              <w:ind w:left="776"/>
              <w:spacing w:after="0" w:line="173"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3.</w:t>
            </w:r>
          </w:p>
        </w:tc>
        <w:tc>
          <w:tcPr>
            <w:tcW w:w="1560" w:type="dxa"/>
            <w:vAlign w:val="bottom"/>
            <w:tcBorders>
              <w:top w:val="single" w:sz="8" w:color="0000EE"/>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7"/>
              </w:rPr>
              <w:t>KEY INFORMATION</w:t>
            </w:r>
          </w:p>
        </w:tc>
        <w:tc>
          <w:tcPr>
            <w:tcW w:w="2200" w:type="dxa"/>
            <w:vAlign w:val="bottom"/>
            <w:tcBorders>
              <w:top w:val="single" w:sz="8" w:color="0000EE"/>
            </w:tcBorders>
            <w:gridSpan w:val="7"/>
          </w:tcPr>
          <w:p>
            <w:pPr>
              <w:spacing w:after="0"/>
              <w:rPr>
                <w:sz w:val="15"/>
                <w:szCs w:val="15"/>
                <w:color w:val="auto"/>
              </w:rPr>
            </w:pPr>
          </w:p>
        </w:tc>
        <w:tc>
          <w:tcPr>
            <w:tcW w:w="4640" w:type="dxa"/>
            <w:vAlign w:val="bottom"/>
            <w:tcBorders>
              <w:top w:val="single" w:sz="8" w:color="CCEEFF"/>
            </w:tcBorders>
            <w:gridSpan w:val="13"/>
          </w:tcPr>
          <w:p>
            <w:pPr>
              <w:spacing w:after="0"/>
              <w:rPr>
                <w:sz w:val="15"/>
                <w:szCs w:val="15"/>
                <w:color w:val="auto"/>
              </w:rPr>
            </w:pPr>
          </w:p>
        </w:tc>
        <w:tc>
          <w:tcPr>
            <w:tcW w:w="1460" w:type="dxa"/>
            <w:vAlign w:val="bottom"/>
            <w:tcBorders>
              <w:top w:val="single" w:sz="8" w:color="CCEEFF"/>
            </w:tcBorders>
          </w:tcPr>
          <w:p>
            <w:pPr>
              <w:jc w:val="center"/>
              <w:ind w:left="776"/>
              <w:spacing w:after="0" w:line="16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4.</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INFORMATION ON THE COMPANY</w:t>
            </w:r>
          </w:p>
        </w:tc>
        <w:tc>
          <w:tcPr>
            <w:tcW w:w="1460" w:type="dxa"/>
            <w:vAlign w:val="bottom"/>
            <w:shd w:val="clear" w:color="auto" w:fill="CCEEFF"/>
          </w:tcPr>
          <w:p>
            <w:pPr>
              <w:jc w:val="center"/>
              <w:ind w:left="776"/>
              <w:spacing w:after="0" w:line="173" w:lineRule="exact"/>
              <w:rPr>
                <w:sz w:val="20"/>
                <w:szCs w:val="20"/>
                <w:color w:val="auto"/>
              </w:rPr>
            </w:pPr>
            <w:r>
              <w:rPr>
                <w:rFonts w:ascii="Times New Roman" w:cs="Times New Roman" w:eastAsia="Times New Roman" w:hAnsi="Times New Roman"/>
                <w:sz w:val="17"/>
                <w:szCs w:val="17"/>
                <w:color w:val="auto"/>
                <w:w w:val="93"/>
              </w:rPr>
              <w:t>59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4A.</w:t>
            </w:r>
          </w:p>
        </w:tc>
        <w:tc>
          <w:tcPr>
            <w:tcW w:w="2640" w:type="dxa"/>
            <w:vAlign w:val="bottom"/>
            <w:tcBorders>
              <w:top w:val="single" w:sz="8" w:color="0000EE"/>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7"/>
                <w:szCs w:val="17"/>
                <w:color w:val="0000EE"/>
                <w:w w:val="97"/>
              </w:rPr>
              <w:t>UNRESOLVED STAFF COMMENTS</w:t>
            </w:r>
          </w:p>
        </w:tc>
        <w:tc>
          <w:tcPr>
            <w:tcW w:w="40" w:type="dxa"/>
            <w:vAlign w:val="bottom"/>
            <w:tcBorders>
              <w:top w:val="single" w:sz="8" w:color="0000EE"/>
            </w:tcBorders>
          </w:tcPr>
          <w:p>
            <w:pPr>
              <w:spacing w:after="0"/>
              <w:rPr>
                <w:sz w:val="15"/>
                <w:szCs w:val="15"/>
                <w:color w:val="auto"/>
              </w:rPr>
            </w:pPr>
          </w:p>
        </w:tc>
        <w:tc>
          <w:tcPr>
            <w:tcW w:w="5720" w:type="dxa"/>
            <w:vAlign w:val="bottom"/>
            <w:tcBorders>
              <w:top w:val="single" w:sz="8" w:color="CCEEFF"/>
            </w:tcBorders>
            <w:gridSpan w:val="15"/>
          </w:tcPr>
          <w:p>
            <w:pPr>
              <w:spacing w:after="0"/>
              <w:rPr>
                <w:sz w:val="15"/>
                <w:szCs w:val="15"/>
                <w:color w:val="auto"/>
              </w:rPr>
            </w:pPr>
          </w:p>
        </w:tc>
        <w:tc>
          <w:tcPr>
            <w:tcW w:w="1460" w:type="dxa"/>
            <w:vAlign w:val="bottom"/>
            <w:tcBorders>
              <w:top w:val="single" w:sz="8" w:color="CCEEFF"/>
            </w:tcBorders>
          </w:tcPr>
          <w:p>
            <w:pPr>
              <w:jc w:val="center"/>
              <w:ind w:left="776"/>
              <w:spacing w:after="0" w:line="164" w:lineRule="exact"/>
              <w:rPr>
                <w:sz w:val="20"/>
                <w:szCs w:val="20"/>
                <w:color w:val="auto"/>
              </w:rPr>
            </w:pPr>
            <w:r>
              <w:rPr>
                <w:rFonts w:ascii="Times New Roman" w:cs="Times New Roman" w:eastAsia="Times New Roman" w:hAnsi="Times New Roman"/>
                <w:sz w:val="17"/>
                <w:szCs w:val="17"/>
                <w:color w:val="auto"/>
                <w:w w:val="93"/>
              </w:rPr>
              <w:t>88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5.</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OPERATING AND FINANCIAL REVIEW AND PROSPECTS</w:t>
            </w:r>
          </w:p>
        </w:tc>
        <w:tc>
          <w:tcPr>
            <w:tcW w:w="1460" w:type="dxa"/>
            <w:vAlign w:val="bottom"/>
            <w:shd w:val="clear" w:color="auto" w:fill="CCEEFF"/>
          </w:tcPr>
          <w:p>
            <w:pPr>
              <w:jc w:val="center"/>
              <w:ind w:left="776"/>
              <w:spacing w:after="0" w:line="173" w:lineRule="exact"/>
              <w:rPr>
                <w:sz w:val="20"/>
                <w:szCs w:val="20"/>
                <w:color w:val="auto"/>
              </w:rPr>
            </w:pPr>
            <w:r>
              <w:rPr>
                <w:rFonts w:ascii="Times New Roman" w:cs="Times New Roman" w:eastAsia="Times New Roman" w:hAnsi="Times New Roman"/>
                <w:sz w:val="17"/>
                <w:szCs w:val="17"/>
                <w:color w:val="auto"/>
                <w:w w:val="93"/>
              </w:rPr>
              <w:t>88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6.</w:t>
            </w:r>
          </w:p>
        </w:tc>
        <w:tc>
          <w:tcPr>
            <w:tcW w:w="4360" w:type="dxa"/>
            <w:vAlign w:val="bottom"/>
            <w:tcBorders>
              <w:top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7"/>
                <w:szCs w:val="17"/>
                <w:color w:val="0000EE"/>
                <w:w w:val="99"/>
              </w:rPr>
              <w:t>DIRECTORS, SENIOR MANAGEMENT AND EMPLOYEES</w:t>
            </w:r>
          </w:p>
        </w:tc>
        <w:tc>
          <w:tcPr>
            <w:tcW w:w="4040" w:type="dxa"/>
            <w:vAlign w:val="bottom"/>
            <w:tcBorders>
              <w:top w:val="single" w:sz="8" w:color="CCEEFF"/>
            </w:tcBorders>
            <w:gridSpan w:val="11"/>
          </w:tcPr>
          <w:p>
            <w:pPr>
              <w:spacing w:after="0"/>
              <w:rPr>
                <w:sz w:val="14"/>
                <w:szCs w:val="14"/>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7.</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MAJOR SHAREHOLDERS AND RELATED PARTY TRANSACTIONS</w:t>
            </w:r>
          </w:p>
        </w:tc>
        <w:tc>
          <w:tcPr>
            <w:tcW w:w="1460" w:type="dxa"/>
            <w:vAlign w:val="bottom"/>
            <w:shd w:val="clear" w:color="auto" w:fill="CCEEFF"/>
          </w:tcPr>
          <w:p>
            <w:pPr>
              <w:jc w:val="center"/>
              <w:ind w:left="776"/>
              <w:spacing w:after="0" w:line="173" w:lineRule="exact"/>
              <w:rPr>
                <w:sz w:val="20"/>
                <w:szCs w:val="20"/>
                <w:color w:val="auto"/>
              </w:rPr>
            </w:pPr>
            <w:r>
              <w:rPr>
                <w:rFonts w:ascii="Times New Roman" w:cs="Times New Roman" w:eastAsia="Times New Roman" w:hAnsi="Times New Roman"/>
                <w:sz w:val="17"/>
                <w:szCs w:val="17"/>
                <w:color w:val="auto"/>
                <w:w w:val="93"/>
              </w:rPr>
              <w:t>111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8.</w:t>
            </w:r>
          </w:p>
        </w:tc>
        <w:tc>
          <w:tcPr>
            <w:tcW w:w="2260" w:type="dxa"/>
            <w:vAlign w:val="bottom"/>
            <w:tcBorders>
              <w:top w:val="single" w:sz="8" w:color="0000EE"/>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rPr>
              <w:t>FINANCIAL INFORMATION</w:t>
            </w:r>
          </w:p>
        </w:tc>
        <w:tc>
          <w:tcPr>
            <w:tcW w:w="2760" w:type="dxa"/>
            <w:vAlign w:val="bottom"/>
            <w:tcBorders>
              <w:top w:val="single" w:sz="8" w:color="0000EE"/>
            </w:tcBorders>
            <w:gridSpan w:val="10"/>
          </w:tcPr>
          <w:p>
            <w:pPr>
              <w:spacing w:after="0"/>
              <w:rPr>
                <w:sz w:val="15"/>
                <w:szCs w:val="15"/>
                <w:color w:val="auto"/>
              </w:rPr>
            </w:pPr>
          </w:p>
        </w:tc>
        <w:tc>
          <w:tcPr>
            <w:tcW w:w="3380" w:type="dxa"/>
            <w:vAlign w:val="bottom"/>
            <w:tcBorders>
              <w:top w:val="single" w:sz="8" w:color="CCEEFF"/>
            </w:tcBorders>
            <w:gridSpan w:val="8"/>
          </w:tcPr>
          <w:p>
            <w:pPr>
              <w:spacing w:after="0"/>
              <w:rPr>
                <w:sz w:val="15"/>
                <w:szCs w:val="15"/>
                <w:color w:val="auto"/>
              </w:rPr>
            </w:pPr>
          </w:p>
        </w:tc>
        <w:tc>
          <w:tcPr>
            <w:tcW w:w="1460" w:type="dxa"/>
            <w:vAlign w:val="bottom"/>
            <w:tcBorders>
              <w:top w:val="single" w:sz="8" w:color="CCEEFF"/>
            </w:tcBorders>
          </w:tcPr>
          <w:p>
            <w:pPr>
              <w:jc w:val="center"/>
              <w:ind w:left="776"/>
              <w:spacing w:after="0" w:line="164" w:lineRule="exact"/>
              <w:rPr>
                <w:sz w:val="20"/>
                <w:szCs w:val="20"/>
                <w:color w:val="auto"/>
              </w:rPr>
            </w:pPr>
            <w:r>
              <w:rPr>
                <w:rFonts w:ascii="Times New Roman" w:cs="Times New Roman" w:eastAsia="Times New Roman" w:hAnsi="Times New Roman"/>
                <w:sz w:val="17"/>
                <w:szCs w:val="17"/>
                <w:color w:val="auto"/>
                <w:w w:val="93"/>
              </w:rPr>
              <w:t>113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9.</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THE OFFER AND LISTING</w:t>
            </w:r>
          </w:p>
        </w:tc>
        <w:tc>
          <w:tcPr>
            <w:tcW w:w="1460" w:type="dxa"/>
            <w:vAlign w:val="bottom"/>
            <w:shd w:val="clear" w:color="auto" w:fill="CCEEFF"/>
          </w:tcPr>
          <w:p>
            <w:pPr>
              <w:jc w:val="center"/>
              <w:ind w:left="776"/>
              <w:spacing w:after="0" w:line="173" w:lineRule="exact"/>
              <w:rPr>
                <w:sz w:val="20"/>
                <w:szCs w:val="20"/>
                <w:color w:val="auto"/>
              </w:rPr>
            </w:pPr>
            <w:r>
              <w:rPr>
                <w:rFonts w:ascii="Times New Roman" w:cs="Times New Roman" w:eastAsia="Times New Roman" w:hAnsi="Times New Roman"/>
                <w:sz w:val="17"/>
                <w:szCs w:val="17"/>
                <w:color w:val="auto"/>
                <w:w w:val="93"/>
              </w:rPr>
              <w:t>114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0000EE"/>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10.</w:t>
            </w:r>
          </w:p>
        </w:tc>
        <w:tc>
          <w:tcPr>
            <w:tcW w:w="226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w w:val="96"/>
              </w:rPr>
              <w:t>ADDITIONAL INFORMATION</w:t>
            </w:r>
          </w:p>
        </w:tc>
        <w:tc>
          <w:tcPr>
            <w:tcW w:w="6140" w:type="dxa"/>
            <w:vAlign w:val="bottom"/>
            <w:gridSpan w:val="18"/>
          </w:tcPr>
          <w:p>
            <w:pPr>
              <w:spacing w:after="0"/>
              <w:rPr>
                <w:sz w:val="15"/>
                <w:szCs w:val="15"/>
                <w:color w:val="auto"/>
              </w:rPr>
            </w:pPr>
          </w:p>
        </w:tc>
        <w:tc>
          <w:tcPr>
            <w:tcW w:w="1460" w:type="dxa"/>
            <w:vAlign w:val="bottom"/>
          </w:tcPr>
          <w:p>
            <w:pPr>
              <w:jc w:val="center"/>
              <w:ind w:left="776"/>
              <w:spacing w:after="0" w:line="164" w:lineRule="exact"/>
              <w:rPr>
                <w:sz w:val="20"/>
                <w:szCs w:val="20"/>
                <w:color w:val="auto"/>
              </w:rPr>
            </w:pPr>
            <w:r>
              <w:rPr>
                <w:rFonts w:ascii="Times New Roman" w:cs="Times New Roman" w:eastAsia="Times New Roman" w:hAnsi="Times New Roman"/>
                <w:sz w:val="17"/>
                <w:szCs w:val="17"/>
                <w:color w:val="auto"/>
                <w:w w:val="93"/>
              </w:rPr>
              <w:t>114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11.</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12.</w:t>
            </w:r>
          </w:p>
        </w:tc>
        <w:tc>
          <w:tcPr>
            <w:tcW w:w="5740" w:type="dxa"/>
            <w:vAlign w:val="bottom"/>
            <w:tcBorders>
              <w:top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color w:val="0000EE"/>
              </w:rPr>
              <w:t>DESCRIPTION OF SECURITIES OTHER THAN EQUITY SECURITIES</w:t>
            </w:r>
          </w:p>
        </w:tc>
        <w:tc>
          <w:tcPr>
            <w:tcW w:w="2660" w:type="dxa"/>
            <w:vAlign w:val="bottom"/>
            <w:tcBorders>
              <w:top w:val="single" w:sz="8" w:color="CCEEFF"/>
            </w:tcBorders>
            <w:gridSpan w:val="5"/>
          </w:tcPr>
          <w:p>
            <w:pPr>
              <w:spacing w:after="0"/>
              <w:rPr>
                <w:sz w:val="14"/>
                <w:szCs w:val="14"/>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 w:type="dxa"/>
            <w:vAlign w:val="bottom"/>
            <w:tcBorders>
              <w:bottom w:val="single" w:sz="8" w:color="0000EE"/>
              <w:right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4"/>
              </w:rPr>
              <w:t>PART II</w:t>
            </w:r>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top w:val="single" w:sz="8" w:color="0000EE"/>
              <w:bottom w:val="single" w:sz="8" w:color="CCEEFF"/>
            </w:tcBorders>
            <w:shd w:val="clear" w:color="auto" w:fill="CCEEFF"/>
          </w:tcPr>
          <w:p>
            <w:pPr>
              <w:spacing w:after="0"/>
              <w:rPr>
                <w:sz w:val="17"/>
                <w:szCs w:val="17"/>
                <w:color w:val="auto"/>
              </w:rPr>
            </w:pPr>
          </w:p>
        </w:tc>
        <w:tc>
          <w:tcPr>
            <w:tcW w:w="5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46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20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500" w:type="dxa"/>
            <w:vAlign w:val="bottom"/>
            <w:tcBorders>
              <w:top w:val="single" w:sz="8" w:color="0000EE"/>
              <w:bottom w:val="single" w:sz="8" w:color="CCEEFF"/>
            </w:tcBorders>
            <w:shd w:val="clear" w:color="auto" w:fill="CCEEFF"/>
          </w:tcPr>
          <w:p>
            <w:pPr>
              <w:spacing w:after="0"/>
              <w:rPr>
                <w:sz w:val="17"/>
                <w:szCs w:val="17"/>
                <w:color w:val="auto"/>
              </w:rPr>
            </w:pPr>
          </w:p>
        </w:tc>
        <w:tc>
          <w:tcPr>
            <w:tcW w:w="58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300" w:type="dxa"/>
            <w:vAlign w:val="bottom"/>
            <w:tcBorders>
              <w:top w:val="single" w:sz="8" w:color="0000EE"/>
              <w:bottom w:val="single" w:sz="8" w:color="CCEEFF"/>
            </w:tcBorders>
            <w:shd w:val="clear" w:color="auto" w:fill="CCEEFF"/>
          </w:tcPr>
          <w:p>
            <w:pPr>
              <w:spacing w:after="0"/>
              <w:rPr>
                <w:sz w:val="17"/>
                <w:szCs w:val="17"/>
                <w:color w:val="auto"/>
              </w:rPr>
            </w:pPr>
          </w:p>
        </w:tc>
        <w:tc>
          <w:tcPr>
            <w:tcW w:w="34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0000EE"/>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ind w:left="796"/>
              <w:spacing w:after="0" w:line="182"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60" w:type="dxa"/>
            <w:vAlign w:val="bottom"/>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13.</w:t>
            </w:r>
          </w:p>
        </w:tc>
        <w:tc>
          <w:tcPr>
            <w:tcW w:w="8400" w:type="dxa"/>
            <w:vAlign w:val="bottom"/>
            <w:gridSpan w:val="24"/>
          </w:tcPr>
          <w:p>
            <w:pPr>
              <w:spacing w:after="0" w:line="164" w:lineRule="exact"/>
              <w:rPr>
                <w:sz w:val="20"/>
                <w:szCs w:val="20"/>
                <w:color w:val="auto"/>
              </w:rPr>
            </w:pPr>
            <w:r>
              <w:rPr>
                <w:rFonts w:ascii="Times New Roman" w:cs="Times New Roman" w:eastAsia="Times New Roman" w:hAnsi="Times New Roman"/>
                <w:sz w:val="17"/>
                <w:szCs w:val="17"/>
                <w:color w:val="0000EE"/>
              </w:rPr>
              <w:t>DEFAULTS, DIVIDEND ARREARAGES AND DELINQUENCIES</w:t>
            </w:r>
          </w:p>
        </w:tc>
        <w:tc>
          <w:tcPr>
            <w:tcW w:w="1460" w:type="dxa"/>
            <w:vAlign w:val="bottom"/>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14.</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MATERIAL MODIFICATIONS TO THE RIGHTS OF SECURITY HOLDERS AND USE OF PROCEEDS</w:t>
            </w: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15.</w:t>
            </w:r>
          </w:p>
        </w:tc>
        <w:tc>
          <w:tcPr>
            <w:tcW w:w="2440" w:type="dxa"/>
            <w:vAlign w:val="bottom"/>
            <w:tcBorders>
              <w:top w:val="single" w:sz="8" w:color="0000EE"/>
              <w:bottom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7"/>
                <w:szCs w:val="17"/>
                <w:color w:val="0000EE"/>
                <w:w w:val="98"/>
              </w:rPr>
              <w:t>CONTROLS AND PROCEDURES</w:t>
            </w:r>
          </w:p>
        </w:tc>
        <w:tc>
          <w:tcPr>
            <w:tcW w:w="4900" w:type="dxa"/>
            <w:vAlign w:val="bottom"/>
            <w:tcBorders>
              <w:top w:val="single" w:sz="8" w:color="0000EE"/>
            </w:tcBorders>
            <w:gridSpan w:val="16"/>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16A.</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AUDIT COMMITTEE FINANCIAL EXPERT</w:t>
            </w: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16B.</w:t>
            </w:r>
          </w:p>
        </w:tc>
        <w:tc>
          <w:tcPr>
            <w:tcW w:w="1360" w:type="dxa"/>
            <w:vAlign w:val="bottom"/>
            <w:tcBorders>
              <w:top w:val="single" w:sz="8" w:color="0000EE"/>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7"/>
                <w:szCs w:val="17"/>
                <w:color w:val="0000EE"/>
                <w:w w:val="98"/>
              </w:rPr>
              <w:t>CODE OF ETHICS</w:t>
            </w:r>
          </w:p>
        </w:tc>
        <w:tc>
          <w:tcPr>
            <w:tcW w:w="1820" w:type="dxa"/>
            <w:vAlign w:val="bottom"/>
            <w:tcBorders>
              <w:top w:val="single" w:sz="8" w:color="0000EE"/>
            </w:tcBorders>
            <w:gridSpan w:val="8"/>
          </w:tcPr>
          <w:p>
            <w:pPr>
              <w:spacing w:after="0"/>
              <w:rPr>
                <w:sz w:val="15"/>
                <w:szCs w:val="15"/>
                <w:color w:val="auto"/>
              </w:rPr>
            </w:pPr>
          </w:p>
        </w:tc>
        <w:tc>
          <w:tcPr>
            <w:tcW w:w="5220" w:type="dxa"/>
            <w:vAlign w:val="bottom"/>
            <w:tcBorders>
              <w:top w:val="single" w:sz="8" w:color="CCEEFF"/>
            </w:tcBorders>
            <w:gridSpan w:val="14"/>
          </w:tcPr>
          <w:p>
            <w:pPr>
              <w:spacing w:after="0"/>
              <w:rPr>
                <w:sz w:val="15"/>
                <w:szCs w:val="15"/>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16C.</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580" w:type="dxa"/>
            <w:vAlign w:val="bottom"/>
            <w:tcBorders>
              <w:right w:val="single" w:sz="8" w:color="CCEEFF"/>
            </w:tcBorders>
            <w:shd w:val="clear" w:color="auto" w:fill="0000EE"/>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16D.</w:t>
            </w:r>
          </w:p>
        </w:tc>
        <w:tc>
          <w:tcPr>
            <w:tcW w:w="5760" w:type="dxa"/>
            <w:vAlign w:val="bottom"/>
            <w:tcBorders>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7"/>
                <w:szCs w:val="17"/>
                <w:color w:val="0000EE"/>
                <w:w w:val="98"/>
              </w:rPr>
              <w:t>EXEMPTIONS FROM THE LISTING STANDARDS FOR AUDIT COMMITTEES</w:t>
            </w:r>
          </w:p>
        </w:tc>
        <w:tc>
          <w:tcPr>
            <w:tcW w:w="2640" w:type="dxa"/>
            <w:vAlign w:val="bottom"/>
            <w:gridSpan w:val="4"/>
          </w:tcPr>
          <w:p>
            <w:pPr>
              <w:spacing w:after="0"/>
              <w:rPr>
                <w:sz w:val="15"/>
                <w:szCs w:val="15"/>
                <w:color w:val="auto"/>
              </w:rPr>
            </w:pPr>
          </w:p>
        </w:tc>
        <w:tc>
          <w:tcPr>
            <w:tcW w:w="1460" w:type="dxa"/>
            <w:vAlign w:val="bottom"/>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16E.</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PURCHASES OF EQUITY SECURITIES BY THE ISSUER AND AFFILIATED PURCHASERS</w:t>
            </w: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16F.</w:t>
            </w:r>
          </w:p>
        </w:tc>
        <w:tc>
          <w:tcPr>
            <w:tcW w:w="6680" w:type="dxa"/>
            <w:vAlign w:val="bottom"/>
            <w:tcBorders>
              <w:top w:val="single" w:sz="8" w:color="0000EE"/>
            </w:tcBorders>
            <w:gridSpan w:val="22"/>
          </w:tcPr>
          <w:p>
            <w:pPr>
              <w:spacing w:after="0" w:line="164" w:lineRule="exact"/>
              <w:rPr>
                <w:sz w:val="20"/>
                <w:szCs w:val="20"/>
                <w:color w:val="auto"/>
              </w:rPr>
            </w:pPr>
            <w:r>
              <w:rPr>
                <w:rFonts w:ascii="Times New Roman" w:cs="Times New Roman" w:eastAsia="Times New Roman" w:hAnsi="Times New Roman"/>
                <w:sz w:val="17"/>
                <w:szCs w:val="17"/>
                <w:color w:val="0000EE"/>
              </w:rPr>
              <w:t>CHANGE IN REGISTRANT’S CERTIFYING ACCOUNTANT</w:t>
            </w:r>
          </w:p>
        </w:tc>
        <w:tc>
          <w:tcPr>
            <w:tcW w:w="1720" w:type="dxa"/>
            <w:vAlign w:val="bottom"/>
            <w:tcBorders>
              <w:top w:val="single" w:sz="8" w:color="CCEEFF"/>
            </w:tcBorders>
            <w:gridSpan w:val="2"/>
          </w:tcPr>
          <w:p>
            <w:pPr>
              <w:spacing w:after="0"/>
              <w:rPr>
                <w:sz w:val="15"/>
                <w:szCs w:val="15"/>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16G.</w:t>
            </w:r>
          </w:p>
        </w:tc>
        <w:tc>
          <w:tcPr>
            <w:tcW w:w="4380" w:type="dxa"/>
            <w:vAlign w:val="bottom"/>
            <w:tcBorders>
              <w:top w:val="single" w:sz="8" w:color="0000EE"/>
            </w:tcBorders>
            <w:gridSpan w:val="1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CORPORATE GOVERNANCE</w:t>
            </w:r>
          </w:p>
        </w:tc>
        <w:tc>
          <w:tcPr>
            <w:tcW w:w="4020" w:type="dxa"/>
            <w:vAlign w:val="bottom"/>
            <w:gridSpan w:val="10"/>
            <w:shd w:val="clear" w:color="auto" w:fill="CCEEFF"/>
          </w:tcPr>
          <w:p>
            <w:pPr>
              <w:spacing w:after="0"/>
              <w:rPr>
                <w:sz w:val="15"/>
                <w:szCs w:val="15"/>
                <w:color w:val="auto"/>
              </w:rPr>
            </w:pP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16H.</w:t>
            </w:r>
          </w:p>
        </w:tc>
        <w:tc>
          <w:tcPr>
            <w:tcW w:w="226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rPr>
              <w:t>MINE SAFETY DISCLOSURE</w:t>
            </w:r>
          </w:p>
        </w:tc>
        <w:tc>
          <w:tcPr>
            <w:tcW w:w="6140" w:type="dxa"/>
            <w:vAlign w:val="bottom"/>
            <w:gridSpan w:val="18"/>
          </w:tcPr>
          <w:p>
            <w:pPr>
              <w:spacing w:after="0"/>
              <w:rPr>
                <w:sz w:val="15"/>
                <w:szCs w:val="15"/>
                <w:color w:val="auto"/>
              </w:rPr>
            </w:pPr>
          </w:p>
        </w:tc>
        <w:tc>
          <w:tcPr>
            <w:tcW w:w="1460" w:type="dxa"/>
            <w:vAlign w:val="bottom"/>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16I.</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tcBorders>
              <w:top w:val="single" w:sz="8" w:color="CCEEFF"/>
            </w:tcBorders>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16J.</w:t>
            </w:r>
          </w:p>
        </w:tc>
        <w:tc>
          <w:tcPr>
            <w:tcW w:w="6500" w:type="dxa"/>
            <w:vAlign w:val="bottom"/>
            <w:tcBorders>
              <w:top w:val="single" w:sz="8" w:color="0000EE"/>
            </w:tcBorders>
            <w:gridSpan w:val="21"/>
          </w:tcPr>
          <w:p>
            <w:pPr>
              <w:spacing w:after="0" w:line="164" w:lineRule="exact"/>
              <w:rPr>
                <w:sz w:val="20"/>
                <w:szCs w:val="20"/>
                <w:color w:val="auto"/>
              </w:rPr>
            </w:pPr>
            <w:r>
              <w:rPr>
                <w:rFonts w:ascii="Times New Roman" w:cs="Times New Roman" w:eastAsia="Times New Roman" w:hAnsi="Times New Roman"/>
                <w:sz w:val="17"/>
                <w:szCs w:val="17"/>
                <w:color w:val="0000EE"/>
              </w:rPr>
              <w:t>INSIDER TRADING POLICIES</w:t>
            </w:r>
          </w:p>
        </w:tc>
        <w:tc>
          <w:tcPr>
            <w:tcW w:w="1900" w:type="dxa"/>
            <w:vAlign w:val="bottom"/>
            <w:tcBorders>
              <w:top w:val="single" w:sz="8" w:color="CCEEFF"/>
            </w:tcBorders>
            <w:gridSpan w:val="3"/>
          </w:tcPr>
          <w:p>
            <w:pPr>
              <w:spacing w:after="0"/>
              <w:rPr>
                <w:sz w:val="15"/>
                <w:szCs w:val="15"/>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16K.</w:t>
            </w:r>
          </w:p>
        </w:tc>
        <w:tc>
          <w:tcPr>
            <w:tcW w:w="2260" w:type="dxa"/>
            <w:vAlign w:val="bottom"/>
            <w:tcBorders>
              <w:top w:val="single" w:sz="8" w:color="0000EE"/>
              <w:right w:val="single" w:sz="8" w:color="CCEEFF"/>
            </w:tcBorders>
            <w:gridSpan w:val="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CYBERSECURITY</w:t>
            </w:r>
          </w:p>
        </w:tc>
        <w:tc>
          <w:tcPr>
            <w:tcW w:w="6140" w:type="dxa"/>
            <w:vAlign w:val="bottom"/>
            <w:gridSpan w:val="18"/>
            <w:shd w:val="clear" w:color="auto" w:fill="CCEEFF"/>
          </w:tcPr>
          <w:p>
            <w:pPr>
              <w:spacing w:after="0"/>
              <w:rPr>
                <w:sz w:val="16"/>
                <w:szCs w:val="16"/>
                <w:color w:val="auto"/>
              </w:rPr>
            </w:pP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 w:type="dxa"/>
            <w:vAlign w:val="bottom"/>
            <w:tcBorders>
              <w:top w:val="single" w:sz="8" w:color="CCEEFF"/>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86"/>
              </w:rPr>
              <w:t>PART III</w:t>
            </w:r>
          </w:p>
        </w:tc>
        <w:tc>
          <w:tcPr>
            <w:tcW w:w="760" w:type="dxa"/>
            <w:vAlign w:val="bottom"/>
            <w:tcBorders>
              <w:top w:val="single" w:sz="8" w:color="CCEEFF"/>
            </w:tcBorders>
            <w:gridSpan w:val="3"/>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tcBorders>
              <w:bottom w:val="single" w:sz="8" w:color="CCEEFF"/>
            </w:tcBorders>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17.</w:t>
            </w:r>
          </w:p>
        </w:tc>
        <w:tc>
          <w:tcPr>
            <w:tcW w:w="2020" w:type="dxa"/>
            <w:vAlign w:val="bottom"/>
            <w:tcBorders>
              <w:bottom w:val="single" w:sz="8" w:color="0000EE"/>
              <w:right w:val="single" w:sz="8" w:color="CCEEFF"/>
            </w:tcBorders>
            <w:gridSpan w:val="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5"/>
              </w:rPr>
              <w:t>FINANCIAL STATEMENTS</w:t>
            </w:r>
          </w:p>
        </w:tc>
        <w:tc>
          <w:tcPr>
            <w:tcW w:w="6380" w:type="dxa"/>
            <w:vAlign w:val="bottom"/>
            <w:tcBorders>
              <w:bottom w:val="single" w:sz="8" w:color="CCEEFF"/>
            </w:tcBorders>
            <w:gridSpan w:val="19"/>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60" w:type="dxa"/>
            <w:vAlign w:val="bottom"/>
            <w:gridSpan w:val="4"/>
          </w:tcPr>
          <w:p>
            <w:pPr>
              <w:ind w:left="460"/>
              <w:spacing w:after="0" w:line="164" w:lineRule="exact"/>
              <w:rPr>
                <w:sz w:val="20"/>
                <w:szCs w:val="20"/>
                <w:color w:val="auto"/>
              </w:rPr>
            </w:pPr>
            <w:r>
              <w:rPr>
                <w:rFonts w:ascii="Times New Roman" w:cs="Times New Roman" w:eastAsia="Times New Roman" w:hAnsi="Times New Roman"/>
                <w:sz w:val="17"/>
                <w:szCs w:val="17"/>
                <w:color w:val="auto"/>
              </w:rPr>
              <w:t>ITEM 18.</w:t>
            </w:r>
          </w:p>
        </w:tc>
        <w:tc>
          <w:tcPr>
            <w:tcW w:w="202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7"/>
                <w:szCs w:val="17"/>
                <w:color w:val="0000EE"/>
                <w:w w:val="95"/>
              </w:rPr>
              <w:t>FINANCIAL STATEMENTS</w:t>
            </w:r>
          </w:p>
        </w:tc>
        <w:tc>
          <w:tcPr>
            <w:tcW w:w="6380" w:type="dxa"/>
            <w:vAlign w:val="bottom"/>
            <w:gridSpan w:val="19"/>
          </w:tcPr>
          <w:p>
            <w:pPr>
              <w:spacing w:after="0"/>
              <w:rPr>
                <w:sz w:val="15"/>
                <w:szCs w:val="15"/>
                <w:color w:val="auto"/>
              </w:rPr>
            </w:pPr>
          </w:p>
        </w:tc>
        <w:tc>
          <w:tcPr>
            <w:tcW w:w="1460" w:type="dxa"/>
            <w:vAlign w:val="bottom"/>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gridSpan w:val="4"/>
            <w:shd w:val="clear" w:color="auto" w:fill="CCEEFF"/>
          </w:tcPr>
          <w:p>
            <w:pPr>
              <w:ind w:left="460"/>
              <w:spacing w:after="0" w:line="173" w:lineRule="exact"/>
              <w:rPr>
                <w:sz w:val="20"/>
                <w:szCs w:val="20"/>
                <w:color w:val="auto"/>
              </w:rPr>
            </w:pPr>
            <w:r>
              <w:rPr>
                <w:rFonts w:ascii="Times New Roman" w:cs="Times New Roman" w:eastAsia="Times New Roman" w:hAnsi="Times New Roman"/>
                <w:sz w:val="17"/>
                <w:szCs w:val="17"/>
                <w:color w:val="auto"/>
              </w:rPr>
              <w:t>ITEM 19.</w:t>
            </w:r>
          </w:p>
        </w:tc>
        <w:tc>
          <w:tcPr>
            <w:tcW w:w="8400" w:type="dxa"/>
            <w:vAlign w:val="bottom"/>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EXHIBITS</w:t>
            </w:r>
          </w:p>
        </w:tc>
        <w:tc>
          <w:tcPr>
            <w:tcW w:w="1460" w:type="dxa"/>
            <w:vAlign w:val="bottom"/>
            <w:shd w:val="clear" w:color="auto" w:fill="CCEEFF"/>
          </w:tcPr>
          <w:p>
            <w:pPr>
              <w:jc w:val="center"/>
              <w:ind w:left="796"/>
              <w:spacing w:after="0" w:line="173" w:lineRule="exact"/>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60" w:type="dxa"/>
            <w:vAlign w:val="bottom"/>
            <w:tcBorders>
              <w:top w:val="single" w:sz="8" w:color="CCEEFF"/>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rPr>
              <w:t>SIGNATURES</w:t>
            </w:r>
          </w:p>
        </w:tc>
        <w:tc>
          <w:tcPr>
            <w:tcW w:w="780" w:type="dxa"/>
            <w:vAlign w:val="bottom"/>
            <w:tcBorders>
              <w:top w:val="single" w:sz="8" w:color="0000EE"/>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jc w:val="center"/>
              <w:ind w:left="796"/>
              <w:spacing w:after="0" w:line="164" w:lineRule="exact"/>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otherwise indicated and except where the context otherwise requires, references in this annual report on Form 20-F to:</w:t>
      </w:r>
    </w:p>
    <w:p>
      <w:pPr>
        <w:spacing w:after="0" w:line="204" w:lineRule="exact"/>
        <w:rPr>
          <w:sz w:val="20"/>
          <w:szCs w:val="20"/>
          <w:color w:val="auto"/>
        </w:rPr>
      </w:pPr>
    </w:p>
    <w:p>
      <w:pPr>
        <w:jc w:val="both"/>
        <w:ind w:left="900" w:hanging="294"/>
        <w:spacing w:after="0" w:line="253"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2024 reorganization transaction</w:t>
      </w:r>
      <w:r>
        <w:rPr>
          <w:rFonts w:ascii="Times New Roman" w:cs="Times New Roman" w:eastAsia="Times New Roman" w:hAnsi="Times New Roman"/>
          <w:sz w:val="17"/>
          <w:szCs w:val="17"/>
          <w:color w:val="auto"/>
        </w:rPr>
        <w:t>” are to the transactions to effect the divestment of our divested IoT@Home business by termination the contractual arrangements between Yunmi Hulian Technology (Guangdong) Co., Ltd. and Foshan Yunmi Electric Appliances Technology Co., Ltd., or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and Guangdong Interconnect Electric Appliances Technology Co., Ltd., or Guangdong Interconnect, have enter into a new set of contractual arrangements, as a result of which the Company has controlled Guangdong Interconnect and consolidated its financial results.</w:t>
      </w:r>
    </w:p>
    <w:p>
      <w:pPr>
        <w:spacing w:after="0" w:line="17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are to our American depositary shares, each of which represents three Class A ordinary shares of par value US$0.00001 each;</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AI</w:t>
      </w:r>
      <w:r>
        <w:rPr>
          <w:rFonts w:ascii="Times New Roman" w:cs="Times New Roman" w:eastAsia="Times New Roman" w:hAnsi="Times New Roman"/>
          <w:sz w:val="17"/>
          <w:szCs w:val="17"/>
          <w:color w:val="auto"/>
        </w:rPr>
        <w:t>” are to artificial intelligence;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China</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PRC</w:t>
      </w:r>
      <w:r>
        <w:rPr>
          <w:rFonts w:ascii="Times New Roman" w:cs="Times New Roman" w:eastAsia="Times New Roman" w:hAnsi="Times New Roman"/>
          <w:sz w:val="17"/>
          <w:szCs w:val="17"/>
          <w:color w:val="auto"/>
        </w:rPr>
        <w:t>” are to the People’s Republic of China, excluding, for the purposes of this annual report only, Hong Kong, Macau and Taiwan;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 are to our Class A ordinary shares of par value US$0.00001 per share;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B ordinary shares</w:t>
      </w:r>
      <w:r>
        <w:rPr>
          <w:rFonts w:ascii="Times New Roman" w:cs="Times New Roman" w:eastAsia="Times New Roman" w:hAnsi="Times New Roman"/>
          <w:sz w:val="17"/>
          <w:szCs w:val="17"/>
          <w:color w:val="auto"/>
        </w:rPr>
        <w:t>” are to our Class B ordinary shares of par value US$0.00001 per share;</w:t>
      </w:r>
    </w:p>
    <w:p>
      <w:pPr>
        <w:spacing w:after="0" w:line="207"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divested IoT@Home business</w:t>
      </w:r>
      <w:r>
        <w:rPr>
          <w:rFonts w:ascii="Times New Roman" w:cs="Times New Roman" w:eastAsia="Times New Roman" w:hAnsi="Times New Roman"/>
          <w:sz w:val="17"/>
          <w:szCs w:val="17"/>
          <w:color w:val="auto"/>
        </w:rPr>
        <w:t>” are to the businesses and assets involving certain IoT@Home portfolio products (excluding range hoods, gas stoves, and water heaters) that have been divested by us in August 2024;</w:t>
      </w:r>
    </w:p>
    <w:p>
      <w:pPr>
        <w:spacing w:after="0" w:line="150"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IoT</w:t>
      </w:r>
      <w:r>
        <w:rPr>
          <w:rFonts w:ascii="Times New Roman" w:cs="Times New Roman" w:eastAsia="Times New Roman" w:hAnsi="Times New Roman"/>
          <w:sz w:val="17"/>
          <w:szCs w:val="17"/>
          <w:color w:val="auto"/>
        </w:rPr>
        <w:t>” are to the Internet of Things, an interconnected network of devices that can communicate with one another through the internet;</w:t>
      </w:r>
    </w:p>
    <w:p>
      <w:pPr>
        <w:spacing w:after="0" w:line="207"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w:t>
      </w:r>
      <w:r>
        <w:rPr>
          <w:rFonts w:ascii="Times New Roman" w:cs="Times New Roman" w:eastAsia="Times New Roman" w:hAnsi="Times New Roman"/>
          <w:sz w:val="17"/>
          <w:szCs w:val="17"/>
          <w:b w:val="1"/>
          <w:bCs w:val="1"/>
          <w:color w:val="auto"/>
        </w:rPr>
        <w:t>home water systems</w:t>
      </w:r>
      <w:r>
        <w:rPr>
          <w:rFonts w:ascii="Times New Roman" w:cs="Times New Roman" w:eastAsia="Times New Roman" w:hAnsi="Times New Roman"/>
          <w:sz w:val="17"/>
          <w:szCs w:val="17"/>
          <w:color w:val="auto"/>
        </w:rPr>
        <w:t>” are to our portfolio of smart water purification systems with intelligent interconnectivity and communication capabilities, along with water heaters, smart water kettles, and electric kettles, among others;</w:t>
      </w:r>
    </w:p>
    <w:p>
      <w:pPr>
        <w:spacing w:after="0" w:line="150"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w:t>
      </w:r>
      <w:r>
        <w:rPr>
          <w:rFonts w:ascii="Times New Roman" w:cs="Times New Roman" w:eastAsia="Times New Roman" w:hAnsi="Times New Roman"/>
          <w:sz w:val="17"/>
          <w:szCs w:val="17"/>
          <w:b w:val="1"/>
          <w:bCs w:val="1"/>
          <w:color w:val="auto"/>
        </w:rPr>
        <w:t>kitchen appliances and others</w:t>
      </w:r>
      <w:r>
        <w:rPr>
          <w:rFonts w:ascii="Times New Roman" w:cs="Times New Roman" w:eastAsia="Times New Roman" w:hAnsi="Times New Roman"/>
          <w:sz w:val="17"/>
          <w:szCs w:val="17"/>
          <w:color w:val="auto"/>
        </w:rPr>
        <w:t>” are to portfolio of range hoods, gas stoves, and other small appliances, as well as product installation services and rental services;</w:t>
      </w:r>
    </w:p>
    <w:p>
      <w:pPr>
        <w:spacing w:after="0" w:line="150"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w:t>
      </w:r>
      <w:r>
        <w:rPr>
          <w:rFonts w:ascii="Times New Roman" w:cs="Times New Roman" w:eastAsia="Times New Roman" w:hAnsi="Times New Roman"/>
          <w:sz w:val="17"/>
          <w:szCs w:val="17"/>
          <w:b w:val="1"/>
          <w:bCs w:val="1"/>
          <w:color w:val="auto"/>
        </w:rPr>
        <w:t>IoT@Home portfolio products</w:t>
      </w:r>
      <w:r>
        <w:rPr>
          <w:rFonts w:ascii="Times New Roman" w:cs="Times New Roman" w:eastAsia="Times New Roman" w:hAnsi="Times New Roman"/>
          <w:sz w:val="17"/>
          <w:szCs w:val="17"/>
          <w:color w:val="auto"/>
        </w:rPr>
        <w:t>” are to our portfolio of smart home products with intelligent interconnectivity and communication capabilities, including our smart kitchen products and other smart products;</w:t>
      </w:r>
    </w:p>
    <w:p>
      <w:pPr>
        <w:spacing w:after="0" w:line="150"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are to Class A ordinary shares and Class B ordinary shares;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3"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VIEs</w:t>
      </w:r>
      <w:r>
        <w:rPr>
          <w:rFonts w:ascii="Times New Roman" w:cs="Times New Roman" w:eastAsia="Times New Roman" w:hAnsi="Times New Roman"/>
          <w:sz w:val="17"/>
          <w:szCs w:val="17"/>
          <w:color w:val="auto"/>
        </w:rPr>
        <w:t>” are to variable interest entities, and “our VIEs” are to Beijing Yunmi Technology Co., Ltd., or Beijing Viomi, and Guangdong Interconnect Electric Appliances Technology Co., Ltd., or Guangdong Interconnect, and, in the context of describing our VIEs prior to the completion of the 2024 reorganization transaction, Beijing Viomi and Foshan Yunmi Electric Appliances Technology Co., Ltd., or Foshan Viomi;</w:t>
      </w:r>
    </w:p>
    <w:p>
      <w:pPr>
        <w:spacing w:after="0" w:line="164"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Viomi</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our 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our</w:t>
      </w:r>
      <w:r>
        <w:rPr>
          <w:rFonts w:ascii="Times New Roman" w:cs="Times New Roman" w:eastAsia="Times New Roman" w:hAnsi="Times New Roman"/>
          <w:sz w:val="17"/>
          <w:szCs w:val="17"/>
          <w:color w:val="auto"/>
        </w:rPr>
        <w:t>” are to Viomi Technology Co., Ltd, our Cayman Islands holding company and its subsidiaries, and, in the context of describing our operations and consolidated financial information, our VIEs and the subsidiaries of our VIEs in China;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our WFOE I</w:t>
      </w:r>
      <w:r>
        <w:rPr>
          <w:rFonts w:ascii="Times New Roman" w:cs="Times New Roman" w:eastAsia="Times New Roman" w:hAnsi="Times New Roman"/>
          <w:sz w:val="17"/>
          <w:szCs w:val="17"/>
          <w:color w:val="auto"/>
        </w:rPr>
        <w:t>” are to Lequan Technology (Beijing) Co., Ltd., or Lequan Technology;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our WFOE II</w:t>
      </w:r>
      <w:r>
        <w:rPr>
          <w:rFonts w:ascii="Times New Roman" w:cs="Times New Roman" w:eastAsia="Times New Roman" w:hAnsi="Times New Roman"/>
          <w:sz w:val="17"/>
          <w:szCs w:val="17"/>
          <w:color w:val="auto"/>
        </w:rPr>
        <w:t>” are to Zhumeng Hulian Technology (Guangdong) Co., Ltd., or Zhumeng Hulian;</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3"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WFOEs</w:t>
      </w:r>
      <w:r>
        <w:rPr>
          <w:rFonts w:ascii="Times New Roman" w:cs="Times New Roman" w:eastAsia="Times New Roman" w:hAnsi="Times New Roman"/>
          <w:sz w:val="17"/>
          <w:szCs w:val="17"/>
          <w:color w:val="auto"/>
        </w:rPr>
        <w:t>” are to wholly foreign-owned enterprises, and “our WFOEs” are to our WFOE I and our WFOE II, and, in the context of describing our WFOEs prior to the completion of the 2024 reorganization transaction, WFOE I and Yunmi Hulian Technology (Guangdong) Co., Ltd., or the former WFOE;</w:t>
      </w:r>
    </w:p>
    <w:p>
      <w:pPr>
        <w:spacing w:after="0" w:line="164"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RMB</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Renminbi</w:t>
      </w:r>
      <w:r>
        <w:rPr>
          <w:rFonts w:ascii="Times New Roman" w:cs="Times New Roman" w:eastAsia="Times New Roman" w:hAnsi="Times New Roman"/>
          <w:sz w:val="17"/>
          <w:szCs w:val="17"/>
          <w:color w:val="auto"/>
        </w:rPr>
        <w:t>” are to the legal currency of China;</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U.S. dollars</w:t>
      </w:r>
      <w:r>
        <w:rPr>
          <w:rFonts w:ascii="Times New Roman" w:cs="Times New Roman" w:eastAsia="Times New Roman" w:hAnsi="Times New Roman"/>
          <w:sz w:val="17"/>
          <w:szCs w:val="17"/>
          <w:color w:val="auto"/>
        </w:rPr>
        <w:t>,” are to the legal currency of the United States; and</w:t>
      </w:r>
    </w:p>
    <w:p>
      <w:pPr>
        <w:spacing w:after="0" w:line="207" w:lineRule="exact"/>
        <w:rPr>
          <w:rFonts w:ascii="Times New Roman" w:cs="Times New Roman" w:eastAsia="Times New Roman" w:hAnsi="Times New Roman"/>
          <w:sz w:val="17"/>
          <w:szCs w:val="17"/>
          <w:color w:val="auto"/>
        </w:rPr>
      </w:pPr>
    </w:p>
    <w:p>
      <w:pPr>
        <w:ind w:left="900" w:hanging="294"/>
        <w:spacing w:after="0" w:line="279"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Xiaomi</w:t>
      </w:r>
      <w:r>
        <w:rPr>
          <w:rFonts w:ascii="Times New Roman" w:cs="Times New Roman" w:eastAsia="Times New Roman" w:hAnsi="Times New Roman"/>
          <w:sz w:val="17"/>
          <w:szCs w:val="17"/>
          <w:color w:val="auto"/>
        </w:rPr>
        <w:t>” are to Xiaomi Corporation, an internet company and a principal shareholder of our company as of the date of this annual report, and/or any of its affiliates.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August 2024, to implement our “Focus” strategy for home water solutions, we divested our businesses and assets involving certain IoT@Home portfolio products (excluding range hoods, gas stoves, and water heaters) for a total consideration of RMB65 million in cash. As a result of the completion of the 2024 reorganization transaction, from September 2024, we have ceased to consolidate the divested entities, assets and businesses as well as their corresponding financial results. The historical financial results of our diverted IoT@Home business are reflected in our audited consolidated financial statements as discontinued operations. Unless otherwise stated, the financial information and non-GAAP financial measures disclosed in this annual report refer to our continuing operations. Unless otherwise specifically stated, the information relating to the business operations is disclosed on a continuing operation basis, which excludes the divested IoT@Home business. As a result, our historical results prior to the completion of the 2024 reorganization transaction may not be indicative of future financial condition or results of operations.</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Unless otherwise noted, all translations from Renminbi to U.S. dollars and from U.S. dollars to Renminbi in this annual report were made at a rate of RMB6.9931 to US$1.00, the exchange rate set forth in the H.10 statistical release of the Board of Governors of the Federal Reserve System as of December 31, 2025. We make no representation that any RMB or U.S. dollar amounts could have been, or could be, converted into U.S. dollars or RMB, as the case may be, at any particular rate, or at all.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75" w:lineRule="exact"/>
        <w:rPr>
          <w:sz w:val="20"/>
          <w:szCs w:val="20"/>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and business prospects;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business development, financial conditions and results of operations;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home water solutions products market and the home appliances market in China;</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development of our overseas business;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application of AI technology in home water solutions products;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relationships with our ecosystem partners;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success of our sales channel expansion and optimization;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for, among other things, capital, technology and skilled personnel;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dividend policy;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regulatory and operating conditions in the industry and geographical markets in which we operate; and</w:t>
      </w:r>
    </w:p>
    <w:p>
      <w:pPr>
        <w:spacing w:after="0" w:line="203"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risks and uncertainties described in “</w:t>
      </w:r>
      <w:r>
        <w:rPr>
          <w:rFonts w:ascii="Times New Roman" w:cs="Times New Roman" w:eastAsia="Times New Roman" w:hAnsi="Times New Roman"/>
          <w:sz w:val="17"/>
          <w:szCs w:val="17"/>
          <w:i w:val="1"/>
          <w:iCs w:val="1"/>
          <w:color w:val="auto"/>
        </w:rPr>
        <w:t>Item 3. Key Information—D. Risk Factors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that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IDENTITY OF DIRECTORS, SENIOR MANAGEMENT AND ADVISERS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OFFER STATISTICS AND EXPECTED TIMETABLE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KEY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Holding Company Structure and VIE Contractual Arrangements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Viomi Technology Co., Ltd is not a Chinese operating company but rather a Cayman Islands holding company that does not conduct business directly and has no equity ownership in our VIEs. We conduct our operations in China through (i) our WFOEs and (ii) our VIEs with which we have maintained contractual arrangements. The following diagram illustrates our corporate structure, including our significant subsidiaries and VIEs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7200265" cy="4379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437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ind w:left="300" w:hanging="299"/>
        <w:spacing w:after="0" w:line="274"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Chen holds 99% of the equity interests in Beijing Viomi, and Zhuhai Yungui Enterprise Management Consulting Partnership (Limited Partnership), a limited partnership controlled and managed by Mr. Chen, holds the remaining 1%.</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Foshan Viomi holds 100% of equity interests in Guangdong Interconnect Electric Appliances Technology Co., Ltd.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PRC laws and regulations restrict and impose conditions on foreign investment in internet and other related businesses in China. According to the Special Administrative Measures (Negative List) for Foreign Investment Access, our provision of internet information services falls within the restricted category and the equity ratio of foreign investment in the enterprises operating the business under the restricted category is subject to the cap of 50%. In addition, although our provision of e-commerce services falls within the permitted category, foreign investments in this business are still restricted by other requirements under related regulations in China. Accordingly, we operate this business in China through our VIEs, and rely on contractual arrangements among our WFOEs, our VIEs and the nominee shareholders of the VIEs to control the business operations of our VIEs. Our VIEs are consolidated for accounting purposes, but are not entities in which our Cayman Islands holding company, or our investors, own equity. Revenues contributed by our VIEs accounted for 88.9%, 45.0% and 0.1% of our total revenues for the years ended December 31, 2023, 2024 and 2025, respectively. As used in this annual report, “we,” “us,” “our company,” “our,” or “Viomi” refers to Viomi Technology Co., Ltd, its subsidiaries, and, in the context of describing our operations and consolidated financial information, our VIEs in China. Our VIEs currently include Beijing Yunmi Technology Co., Ltd., or Beijing Viomi, and Guangdong Interconnect Electric Appliances Technology Co., Ltd., or Guangdong Interconnect, and, prior to the completion of the 2024 reorganization transaction, our VIEs include Beijing Viomi and Foshan Yunmi Electric Appliances Technology Co., Ltd., or Foshan Viomi. Prior to the completion of the 2024 reorganization transaction, we operate our internet information and e-commerce services business primarily through our former VIE, Foshan Viomi. In the 2024 reorganization transaction, Foshan Viomi agreed to transfer the websites, mobile apps, mini programs operated by it and all the related materials and rights (including but not limited to domain names, databases, codes, software, operational data, materials, documents, information) to Guangdong Interconnect. We have completed the transfer process with Foshan Viomi transfer in November 2025, and after the completion of the transfer, Guangdong Interconnect will replace Foshan Viomi in operating internet information and e-commerce services business. Investors in our ADSs are not purchasing equity interest in our VIEs in China but instead are purchasing equity interest in a holding company incorporated in the Cayman Islands.</w:t>
      </w:r>
    </w:p>
    <w:p>
      <w:pPr>
        <w:spacing w:after="0" w:line="381"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 series of contractual agreements have been entered into by and among our WFOEs, our VIEs and their respective shareholders, including (i) shareholder voting proxy agreements and equity pledge agreements, which provide us with effective control over our VIEs in China, (ii) exclusive consultation and service agreements, which allow us to receive economic benefits from our VIEs in China, (iii) exclusive option agreements, which provide us with the option to purchase the equity interests in, and assets of, our VIEs, and (iv) equity pledge agreements, under which the shareholders of our VIEs have pledged 100% equity interests in our VIEs to our WFOEs to secure shareholders’ obligations under the exclusive option agreements, the shareholder voting proxy agreements and the equity pledge agreements. Terms contained in each set of contractual arrangements with our VIEs and their respective shareholders are substantially similar. After the completion of our 2024 reorganization transaction, we have terminated the contractual arrangements between Yunmi Hulian Technology (Guangdong) Co., Ltd., or the former WFOE, and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Technology (Guangdong) Co., Ltd., or WFOE II, and Guangdong Interconnect, have entered into a new set of contractual arrangements, as a result of which the Company has controlled Guangdong Interconnect and consolidated its financial results. For more details of these contractual arrangements, see “</w:t>
      </w:r>
      <w:r>
        <w:rPr>
          <w:rFonts w:ascii="Times New Roman" w:cs="Times New Roman" w:eastAsia="Times New Roman" w:hAnsi="Times New Roman"/>
          <w:sz w:val="17"/>
          <w:szCs w:val="17"/>
          <w:i w:val="1"/>
          <w:iCs w:val="1"/>
          <w:color w:val="auto"/>
        </w:rPr>
        <w:t>Item 4. Information on the Company—C. Organizational Structure—Contractual Arrangements with Our VIEs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Their Shareholders</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However, the contractual arrangements may not be as effective as direct ownership in providing us with control over our VIEs and we may incur substantial costs to enforce the terms of the arrangements. All of the agreements under our contractual arrangements are governed by PRC laws and provide for the resolution of disputes through arbitration in China. Accordingly, these contracts would be interpreted in accordance with PRC laws and any disputes arising from these contracts would be resolved in accordance with PRC legal procedures. These arrangements have not been tested in arbitral tribunals or courts. Changes in the regulatory environment in China may limit our ability to enforce these contractual arrangements. Further,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See “</w:t>
      </w:r>
      <w:r>
        <w:rPr>
          <w:rFonts w:ascii="Times New Roman" w:cs="Times New Roman" w:eastAsia="Times New Roman" w:hAnsi="Times New Roman"/>
          <w:sz w:val="17"/>
          <w:szCs w:val="17"/>
          <w:i w:val="1"/>
          <w:iCs w:val="1"/>
          <w:color w:val="auto"/>
        </w:rPr>
        <w:t>Item 3. Key Information—D. Risk Factors—Risks Related to Our Corporate Structure—We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rely on contractual arrangements with our VIEs and their respective shareholders for substantially all of our business operation, which may not be as effective as direct ownership in providing operational control</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3. Key Information—D. Risk Factors—Risks Related to Our Corporate Structure—Any failure by our VIEs or their shareholders to perform their obligations under our contractual arrangements with them would have a material and adverse effect on our business, financial condition and results of operations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our VIEs and its nominee shareholders. It is uncertain whether any new PRC laws or regulations relating to VIE structures will be adopted or if adopted, what they would provide. If we or any of our VIEs is found to be in violation of any existing or future PRC laws or regulations, or fail to obtain or maintain any of the required permits or approvals, the applicable PRC regulatory authorities would have broad discretion to take action in dealing with such violations or failures. If the PRC government deems that our contractual arrangements with our VIEs do not comply with PRC regulatory restrictions on foreign investment in relevant industries, or if these regulations or the interpretation of existing regulations change or are interpreted differently in the future, we could be subject to severe penalties or be forced to relinquish our interests in those operations. Our holding company, our WFOEs and VIEs, and investors of our company face uncertainty about potential future actions by the PRC government that could affect the enforceability of the contractual arrangements with our VIEs and, consequently, significantly affect the financial performance of our VIEs and their subsidiaries and our company as a whole. See “</w:t>
      </w:r>
      <w:r>
        <w:rPr>
          <w:rFonts w:ascii="Times New Roman" w:cs="Times New Roman" w:eastAsia="Times New Roman" w:hAnsi="Times New Roman"/>
          <w:sz w:val="17"/>
          <w:szCs w:val="17"/>
          <w:i w:val="1"/>
          <w:iCs w:val="1"/>
          <w:color w:val="auto"/>
        </w:rPr>
        <w:t>Item 3. Key Information—D. Risk Factors—Risks Related to Our Corporate Structure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3. Key Information—D. Risk Factors—Risks Related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Doing Business in China—Failure to respond to changes in the regulatory environment in China could adversely affect us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both"/>
        <w:ind w:firstLine="605"/>
        <w:spacing w:after="0" w:line="248" w:lineRule="auto"/>
        <w:rPr>
          <w:sz w:val="20"/>
          <w:szCs w:val="20"/>
          <w:color w:val="auto"/>
        </w:rPr>
      </w:pPr>
      <w:r>
        <w:rPr>
          <w:rFonts w:ascii="Times New Roman" w:cs="Times New Roman" w:eastAsia="Times New Roman" w:hAnsi="Times New Roman"/>
          <w:sz w:val="17"/>
          <w:szCs w:val="17"/>
          <w:color w:val="auto"/>
        </w:rPr>
        <w:t>We face various risks and uncertainties related to doing business in China. Our business operations are primarily conducted in China, and we are subject to complex and evolving PRC laws and regulations. For example, we face risks associated with regulatory approvals on offshore offerings, anti-monopoly regulatory actions, and oversight on cybersecurity and data privacy, as well as the lack of inspection by the Public Company Accounting Oversight Board, or the PCAOB, on our auditors, which may impact our ability to conduct certain businesses, accept foreign investments, or list on a United States or other foreign exchange. Pursuant to the Holding Foreign Companies Accountable Act, which was enacted on December 18, 2020 and further amended by the Consolidated Appropriations Act, 2023 signed into law on December 29, 2022, or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its determinations that it is unable to inspect or investigate completely registered public accounting firms headquartered in Mainland China and Hong Kong, including our auditor.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The delisting of our ADSs, or the threat of their being delisted, may materially and adversely affect the value of your investment. These risks could result in a material adverse change in our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w:t>
      </w:r>
      <w:r>
        <w:rPr>
          <w:rFonts w:ascii="Times New Roman" w:cs="Times New Roman" w:eastAsia="Times New Roman" w:hAnsi="Times New Roman"/>
          <w:sz w:val="17"/>
          <w:szCs w:val="17"/>
          <w:i w:val="1"/>
          <w:iCs w:val="1"/>
          <w:color w:val="auto"/>
        </w:rPr>
        <w:t>Item 3. Key Information—D. Risk Factors—Risks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Doing Business in China</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w:t>
      </w:r>
      <w:r>
        <w:rPr>
          <w:rFonts w:ascii="Times New Roman" w:cs="Times New Roman" w:eastAsia="Times New Roman" w:hAnsi="Times New Roman"/>
          <w:sz w:val="17"/>
          <w:szCs w:val="17"/>
          <w:i w:val="1"/>
          <w:iCs w:val="1"/>
          <w:color w:val="auto"/>
        </w:rPr>
        <w:t>Item 3. Key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Information—D. Risk Factors—Risks Related to Doing Business in China—The PRC government’s significant oversight and discretion over our business operation could result in a material adverse change in our operations and the value of our ADSs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Changes in the regulatory environment in China, including risks and challenges regarding the enforcement of laws and quickly evolving rules and regulations in China, could result in a material adverse change in our operations and the value of our ADSs. For more details, see “</w:t>
      </w:r>
      <w:r>
        <w:rPr>
          <w:rFonts w:ascii="Times New Roman" w:cs="Times New Roman" w:eastAsia="Times New Roman" w:hAnsi="Times New Roman"/>
          <w:sz w:val="17"/>
          <w:szCs w:val="17"/>
          <w:i w:val="1"/>
          <w:iCs w:val="1"/>
          <w:color w:val="auto"/>
        </w:rPr>
        <w:t>Item 3. Key Information—D. Risk Factors—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Risks Related to Doing Business in China—Failure to respond to changes in the regulatory environment in China could adversely affect us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through Our Organization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Viomi Technology Co., Ltd is a holding company with no operations of its own. We conduct our operations in China primarily through our subsidiaries and VIEs in China. As a result, although other means are available for us to obtain financing at the holding company level, Viomi Technology Co., Ltd.’s ability to pay dividends to the shareholders and to service any debt it may incur may depend upon dividends paid by our PRC subsidiaries and license and service fees paid by our VIEs.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any of our subsidiaries incurs debt on its own behalf in the future, the instruments governing such debt may restrict its ability to pay dividends to Viomi Technology Co., Ltd. In addition, our PRC subsidiaries are permitted to pay dividends to Viomi Technology Co., Ltd only out of their accumulated profits, if any, as determined in accordance with PRC accounting standards and regulations. Further, our PRC subsidiaries and VIEs and their subsidiaries are required to make appropriations to certain statutory reserve funds or may make appropriations to certain discretionary funds, which are not distributable as cash dividends except in the event of a solvent liquidation of the companies. For more details, see “</w:t>
      </w:r>
      <w:r>
        <w:rPr>
          <w:rFonts w:ascii="Times New Roman" w:cs="Times New Roman" w:eastAsia="Times New Roman" w:hAnsi="Times New Roman"/>
          <w:sz w:val="17"/>
          <w:szCs w:val="17"/>
          <w:i w:val="1"/>
          <w:iCs w:val="1"/>
          <w:color w:val="auto"/>
        </w:rPr>
        <w:t>Item 5. Operating and Financial Review and Prospects—B. Liquidity and Capital Resources—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Holding Company Structure</w:t>
      </w:r>
      <w:r>
        <w:rPr>
          <w:rFonts w:ascii="Times New Roman" w:cs="Times New Roman" w:eastAsia="Times New Roman" w:hAnsi="Times New Roman"/>
          <w:sz w:val="17"/>
          <w:szCs w:val="17"/>
          <w:color w:val="auto"/>
        </w:rPr>
        <w:t>.” For risks relating to the fund flows of our operations in China, see “</w:t>
      </w:r>
      <w:r>
        <w:rPr>
          <w:rFonts w:ascii="Times New Roman" w:cs="Times New Roman" w:eastAsia="Times New Roman" w:hAnsi="Times New Roman"/>
          <w:sz w:val="17"/>
          <w:szCs w:val="17"/>
          <w:i w:val="1"/>
          <w:iCs w:val="1"/>
          <w:color w:val="auto"/>
        </w:rPr>
        <w:t>Item 3. Key Information—Risk Factors—Risks Related to Our Corporate Structure—We may rely on dividends paid by our PRC subsidiaries to fund any cash and financing requirements we may have. Any limitation on the ability of our PRC subsidiaries to pay dividends to us could have a material adverse effect on our ability to conduct our business and to pay dividends to holders of the ADSs and our ordinary shares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Under PRC laws and regulations, our PRC subsidiaries and our VIEs are subject to certain restrictions with respect to paying dividends or otherwise transferring any of their net assets to us. Remittance of dividends by our PRC subsidiaries out of Mainland China is also subject to examination by the banks designated by the State Administration of Foreign Exchange and declaration and payment of withholding tax. The amounts restricted include the paid-up capital and the statutory reserve funds of our PRC subsidiaries and the net assets of our consolidated variable interest entities in which we have no legal ownership. Our PRC subsidiaries, our VIEs and their subsidiaries generate their revenue primarily in Renminbi, which is not freely convertible into other currencies. As a result, any restriction on currency exchange may limit the ability of our PRC subsidiaries to pay dividends to us. In addition, under the Enterprise Income Tax Law of the PRC and its implementation rules, undistributed profits earned by foreign-invested enterprises prior to January 1, 2008 are exempted from any withholding tax, while profits of a foreign-invested enterprise generated in or after 2008 that are distributed to its immediate holding company outside Mainland China are subject to withholding tax at a rate of 10%, unless the foreign holding company’s jurisdiction of incorporation has a tax treaty with China that provides for a reduced rate of withholding tax. For example, a holding company in Hong Kong, subject to approval of the PRC local tax authority, will be eligible to a 5% withholding tax rate under the Arrangement Between the PRC and the Hong Kong Special Administrative Region on the Avoidance of Double Taxation and Prevention of Fiscal Evasion with Respect to Taxes on Income and Capital if such holding company is considered to be a non-PRC resident enterprise and holds at least 25% of the equity interests in the PRC foreign-invested enterprise distributing the dividends. However, if the Hong Kong holding company is not considered to be the beneficial owner of such dividends under applicable PRC tax regulations, such dividend will remain subject to withholding tax at a rate of 10%. See also “</w:t>
      </w:r>
      <w:r>
        <w:rPr>
          <w:rFonts w:ascii="Times New Roman" w:cs="Times New Roman" w:eastAsia="Times New Roman" w:hAnsi="Times New Roman"/>
          <w:sz w:val="17"/>
          <w:szCs w:val="17"/>
          <w:i w:val="1"/>
          <w:iCs w:val="1"/>
          <w:color w:val="auto"/>
        </w:rPr>
        <w:t>Item 3. Key Information—D.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Factors—Risks Related to Doing Business in China—Governmental control of currency conversion may limit our ability to utilize our cash balance effectively and affect the value of your investment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5. Operating And Financial Review And Prospects—B. Liquidity and Capital Resources—Holding Company Structure</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PRC laws, Viomi Technology Co., Ltd and its offshore subsidiaries may provide funding to our PRC subsidiaries only through capital contributions or loans, and to our VIEs only through loans, subject to satisfaction of applicable government registration and approval requirements. For the years ended December 31, 2023, 2024 and 2025, Viomi Technology Co., Ltd did not extend any loans to our VIEs.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Our VIEs may transfer cash to our relevant WFOEs by paying service fees according to the exclusive consultation and service agreements. Our VIEs agree in the respective exclusive consultation and service agreements to pay our WFOEs an annual service fee at an amount that is equal to 100% of their respective annual net income or the amount which is adjusted in accordance with our relevant WFOE’s sole discretion for the relevant year as well as the mutually agreed amount for certain other technical services, both of which should be paid within three months after the end of the relevant calendar year. Our WFOEs have the exclusive ownership of all the intellectual property rights created as a result of the performance of the exclusive consultation and service agreement, to the extent permitted by applicable PRC laws. In 2023, 2024 and 2025, our WFOEs did not collect service fees from our VIEs in China under the exclusive consultation and service agreements.</w:t>
      </w:r>
    </w:p>
    <w:p>
      <w:pPr>
        <w:spacing w:after="0" w:line="16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asset/cash flows other than the cash flows discussed above transferred through our organization in the years ended December 31, 2023, 2024 and 2025, please refer to “</w:t>
      </w:r>
      <w:r>
        <w:rPr>
          <w:rFonts w:ascii="Times New Roman" w:cs="Times New Roman" w:eastAsia="Times New Roman" w:hAnsi="Times New Roman"/>
          <w:sz w:val="17"/>
          <w:szCs w:val="17"/>
          <w:i w:val="1"/>
          <w:iCs w:val="1"/>
          <w:color w:val="auto"/>
        </w:rPr>
        <w:t>Item 3. Key Information—A. Selected Financial Data—Selected Financial Information Related to the VIEs—Selected Condensed Consolidated Cash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Flow Data</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For the years ended December 31, 2023 and 2024, no dividends or distributions were made to U.S. investors. On July 14, 2025, the board of directors of Viomi Technology Co., Ltd declared a special dividend of US$0.0293 per ordinary share, or US$0.0880 per ADS, to the holders of ordinary shares and holders of ADSs of record as of the close of business on July 31, 2025. On March 25, 2026, the board of directors of Viomi Technology Co., Ltd declared another special dividend of US$0.022 per ordinary share, or US$0.066 per ADS, to the holders of ordinary shares and holders of ADSs of record as of the close of business on April 6, 2026.</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the years ended December 31, 2023, 2024 and 2025, no dividend or distribution was made to Viomi Technology Co., Ltd or its offshore subsidiaries by our PRC subsidiaries. Accordingly, no withholding tax was recorded in the corresponding period. See “</w:t>
      </w:r>
      <w:r>
        <w:rPr>
          <w:rFonts w:ascii="Times New Roman" w:cs="Times New Roman" w:eastAsia="Times New Roman" w:hAnsi="Times New Roman"/>
          <w:sz w:val="17"/>
          <w:szCs w:val="17"/>
          <w:i w:val="1"/>
          <w:iCs w:val="1"/>
          <w:color w:val="auto"/>
        </w:rPr>
        <w:t>Item 8. Financial Information—A. Consolidated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Other Financial Information—Dividend Policy</w:t>
      </w:r>
      <w:r>
        <w:rPr>
          <w:rFonts w:ascii="Times New Roman" w:cs="Times New Roman" w:eastAsia="Times New Roman" w:hAnsi="Times New Roman"/>
          <w:sz w:val="17"/>
          <w:szCs w:val="17"/>
          <w:color w:val="auto"/>
        </w:rPr>
        <w:t>.” For PRC and United States federal income tax considerations of an investment in our ADSs, see “</w:t>
      </w:r>
      <w:r>
        <w:rPr>
          <w:rFonts w:ascii="Times New Roman" w:cs="Times New Roman" w:eastAsia="Times New Roman" w:hAnsi="Times New Roman"/>
          <w:sz w:val="17"/>
          <w:szCs w:val="17"/>
          <w:i w:val="1"/>
          <w:iCs w:val="1"/>
          <w:color w:val="auto"/>
        </w:rPr>
        <w:t>Item 10. Additional Information—E. Taxation</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purposes of illustration, the following discussion reflects the hypothetical taxes that might be required to be paid within Mainland China, assuming that: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we have taxable earnings, and (ii) we determine to pay a dividend in the future: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9160" w:type="dxa"/>
            <w:vAlign w:val="bottom"/>
          </w:tcPr>
          <w:p>
            <w:pPr>
              <w:spacing w:after="0"/>
              <w:rPr>
                <w:sz w:val="24"/>
                <w:szCs w:val="24"/>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3"/>
              </w:rPr>
              <w:t>Taxation Scenario</w:t>
            </w:r>
            <w:r>
              <w:rPr>
                <w:rFonts w:ascii="Times New Roman" w:cs="Times New Roman" w:eastAsia="Times New Roman" w:hAnsi="Times New Roman"/>
                <w:sz w:val="28"/>
                <w:szCs w:val="28"/>
                <w:b w:val="1"/>
                <w:bCs w:val="1"/>
                <w:color w:val="auto"/>
                <w:w w:val="93"/>
                <w:vertAlign w:val="superscript"/>
              </w:rPr>
              <w:t>(1)</w:t>
            </w:r>
          </w:p>
        </w:tc>
      </w:tr>
      <w:tr>
        <w:trPr>
          <w:trHeight w:val="174"/>
        </w:trPr>
        <w:tc>
          <w:tcPr>
            <w:tcW w:w="9160" w:type="dxa"/>
            <w:vAlign w:val="bottom"/>
          </w:tcPr>
          <w:p>
            <w:pPr>
              <w:spacing w:after="0"/>
              <w:rPr>
                <w:sz w:val="15"/>
                <w:szCs w:val="15"/>
                <w:color w:val="auto"/>
              </w:rPr>
            </w:pPr>
          </w:p>
        </w:tc>
        <w:tc>
          <w:tcPr>
            <w:tcW w:w="18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7"/>
              </w:rPr>
              <w:t>(Statutory Tax and</w:t>
            </w:r>
          </w:p>
        </w:tc>
        <w:tc>
          <w:tcPr>
            <w:tcW w:w="200" w:type="dxa"/>
            <w:vAlign w:val="bottom"/>
          </w:tcPr>
          <w:p>
            <w:pPr>
              <w:spacing w:after="0"/>
              <w:rPr>
                <w:sz w:val="15"/>
                <w:szCs w:val="15"/>
                <w:color w:val="auto"/>
              </w:rPr>
            </w:pPr>
          </w:p>
        </w:tc>
      </w:tr>
      <w:tr>
        <w:trPr>
          <w:trHeight w:val="222"/>
        </w:trPr>
        <w:tc>
          <w:tcPr>
            <w:tcW w:w="916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Standard Rates)</w:t>
            </w:r>
          </w:p>
        </w:tc>
        <w:tc>
          <w:tcPr>
            <w:tcW w:w="200" w:type="dxa"/>
            <w:vAlign w:val="bottom"/>
            <w:tcBorders>
              <w:bottom w:val="single" w:sz="8" w:color="CCEEFF"/>
            </w:tcBorders>
          </w:tcPr>
          <w:p>
            <w:pPr>
              <w:spacing w:after="0"/>
              <w:rPr>
                <w:sz w:val="19"/>
                <w:szCs w:val="19"/>
                <w:color w:val="auto"/>
              </w:rPr>
            </w:pPr>
          </w:p>
        </w:tc>
      </w:tr>
      <w:tr>
        <w:trPr>
          <w:trHeight w:val="220"/>
        </w:trPr>
        <w:tc>
          <w:tcPr>
            <w:tcW w:w="9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Hypothetical pre-tax earnings</w:t>
            </w:r>
            <w:r>
              <w:rPr>
                <w:rFonts w:ascii="Times New Roman" w:cs="Times New Roman" w:eastAsia="Times New Roman" w:hAnsi="Times New Roman"/>
                <w:sz w:val="25"/>
                <w:szCs w:val="25"/>
                <w:color w:val="auto"/>
                <w:vertAlign w:val="superscript"/>
              </w:rPr>
              <w:t>(2)</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r>
      <w:tr>
        <w:trPr>
          <w:trHeight w:val="240"/>
        </w:trPr>
        <w:tc>
          <w:tcPr>
            <w:tcW w:w="91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Tax on earnings at statutory rate of 25%</w:t>
            </w:r>
            <w:r>
              <w:rPr>
                <w:rFonts w:ascii="Times New Roman" w:cs="Times New Roman" w:eastAsia="Times New Roman" w:hAnsi="Times New Roman"/>
                <w:sz w:val="27"/>
                <w:szCs w:val="27"/>
                <w:color w:val="auto"/>
                <w:vertAlign w:val="superscript"/>
              </w:rPr>
              <w:t>(3)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2"/>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earnings available for distribution</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w:t>
            </w:r>
          </w:p>
        </w:tc>
      </w:tr>
      <w:tr>
        <w:trPr>
          <w:trHeight w:val="240"/>
        </w:trPr>
        <w:tc>
          <w:tcPr>
            <w:tcW w:w="91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Withholding tax at standard rate of 10%</w:t>
            </w:r>
            <w:r>
              <w:rPr>
                <w:rFonts w:ascii="Times New Roman" w:cs="Times New Roman" w:eastAsia="Times New Roman" w:hAnsi="Times New Roman"/>
                <w:sz w:val="27"/>
                <w:szCs w:val="27"/>
                <w:color w:val="auto"/>
                <w:vertAlign w:val="superscript"/>
              </w:rPr>
              <w:t>(4)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2"/>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distribution to Parent/Shareholders</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ind w:left="300" w:hanging="299"/>
        <w:spacing w:after="0" w:line="274"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example, the tax calculation has been simplified. The hypothetical book pre-tax earnings amount, not considering timing differences, is assumed to equal taxable income in China.</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terms of the contractual arrangements between our PRC subsidiaries, our VIEs and shareholders of our VIEs, our PRC subsidiaries may charge our VIEs for services provided. These fees shall be recognized as expenses of our VIEs, with a corresponding amount as service income by our PRC subsidiaries and eliminate in consolidation. For income tax purposes, our PRC subsidiaries and VIEs file income tax returns on a separate company basis. The fees paid are recognized as a tax deduction by our VIEs and as income by our PRC subsidiaries and are tax neutral.</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subsidiaries and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Enterprise Income Tax Law of the PRC imposes a withholding income tax of 10% on dividends distributed by a foreign invested enterprise to its immediate holding company outside of Mainland China. A lower withholding income tax rate of 5% is applied if the FIE’s immediate holding company is registered in Hong Kong or other jurisdictions that have a tax treaty arrangement with Mainland China, subject to a qualification review at the time of the distribution. For purposes of this hypothetical example, the table above assumes a maximum tax scenario under which the full withholding tax would be applied.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table above has been prepared under the assumption that all profits of our VIEs will be distributed as fees to our PRC subsidiaries under tax neutral contractual arrangements. If, in the future, the accumulated earnings of our VIEs exceed the fees paid to our PRC subsidiaries (or if the current and contemplated fee structure between the intercompany entities is determined to be non-substantive and disallowed by Chinese tax authorities), our VIEs could, as a matter of last resort, make a non-deductible transfer to our PRC subsidiaries for the amounts of the stranded cash in our VIEs. This would result in such transfer being non-deductible expenses for our VIEs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Permissions Required from the PRC Authorities for Our Operations</w:t>
      </w:r>
    </w:p>
    <w:p>
      <w:pPr>
        <w:spacing w:after="0" w:line="212"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We conduct our business primarily through our subsidiaries and VIEs and their subsidiaries in China. Our operations in China are governed by PRC laws and regulations. To comply with these laws and regulations, prior to the completion of 2024 reorganization transaction, our PRC subsidiaries and VIEs and their subsidiaries have obtained the requisite licenses and permits from the PRC government authorities that are material for the business operations of our holding company, our PRC subsidiaries and our VIEs in China, including, among others, the business licenses, the hygiene permits for products related to hygiene and safety of potable water, the compulsory product certification and the operating permit for e-commerce services and internet information services. After the completion of the 2024 reorganization transaction, Guangdong Interconnect has obtained the operating permit for e-commerce services and the operating permit for internet information services. According to relevant PRC laws and regulations, we are required to renew these permits and certificates and continue to apply for permits and certificates for our new products. We cannot predict whether or for how long we will be able to obtain such permit and certificates. Given the uncertainties of interpretation and implementation of laws and regulations and the enforcement practice by government authorities, we may be required to obtain additional licenses, permits, filings or approvals for the functions and services of our platform in the future. For more detailed information, see “</w:t>
      </w:r>
      <w:r>
        <w:rPr>
          <w:rFonts w:ascii="Times New Roman" w:cs="Times New Roman" w:eastAsia="Times New Roman" w:hAnsi="Times New Roman"/>
          <w:sz w:val="16"/>
          <w:szCs w:val="16"/>
          <w:i w:val="1"/>
          <w:iCs w:val="1"/>
          <w:color w:val="auto"/>
        </w:rPr>
        <w:t>Item 3. Key Information—D. Risk Factors—Risks Related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Doing Business in China—We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Furthermore, we and our VIEs may be required to obtain permissions from or complete filings with the China Securities Regulatory Commission, or the CSRC, and may be required to go through cybersecurity review by the Cyberspace Administration of China, or the CAC, in case of any future issuance of securities to foreign investors. Any failure to obtain or delay in obtaining such approval or completing such procedures would subject us to sanctions by the CSRC, CAC or other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ADSs. See “</w:t>
      </w:r>
      <w:r>
        <w:rPr>
          <w:rFonts w:ascii="Times New Roman" w:cs="Times New Roman" w:eastAsia="Times New Roman" w:hAnsi="Times New Roman"/>
          <w:sz w:val="17"/>
          <w:szCs w:val="17"/>
          <w:i w:val="1"/>
          <w:iCs w:val="1"/>
          <w:color w:val="auto"/>
        </w:rPr>
        <w:t>Item 3. Key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Information—D. Risk Factors—Risks Related to Doing Business in China—The PRC government’s significant oversight and discretion over our business operation could result in a material adverse change in our operations and the value of our ADSs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3. Key Information—D. Risk Factors—Risks Related to Doing Business in China—The approval of and filing with the CSRC or other PRC government authorities may be required if we were to conduct offshore offerings in the future, and, if required, we cannot predict whether or for how long we will be able to obtain such approval or complete such filing</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b w:val="1"/>
          <w:bCs w:val="1"/>
          <w:u w:val="single" w:color="auto"/>
          <w:color w:val="auto"/>
        </w:rPr>
        <w:t>Selected Financial Data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Financial Information Related to the VIEs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Set forth below are the condensed consolidated schedule showing the financial position as of December 31, 2023, 2024 and 2025, and results of operations and cash flows for the years ended December 31, 2023, 2024 and 2025 for (i) Viomi Technology Co., Ltd, or the Company; (ii) our equity subsidiaries and primary beneficiaries of VIEs (our WFOEs) and their subsidiaries; (iii) the VIEs and their subsidiaries; (iv) eliminating adjustments; and (v) consolidated totals.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July 19, 2024, in furtherance of its “Focus” strategy for the Home water solution businesses, the Group entered into definitive agreements with Mr. Chen and an entity under his control to divest its businesses and assets related to certain Internet-of-things-enabled (“IoT-enabled”) smart home portfolio products (the “Disposal”). The transfer of the IoT@Home portfolio products (excluding range hoods, gas stoves, and water heaters) to Mr. Chen was accomplished through the termination of the existing VIE contractual arrangements between Yunmi Hulian Technology (Guangdong) Co., Ltd. (“Yunmi Hulian”) and Foshan Yunmi Electric Appliances Technology Co., Ltd. (“Foshan Viomi”) at closing. This termination resulted in Mr. Chen, the shareholder of Foshan Viomi, obtaining full control over Foshan Viomi and its subsidiaries. As part of a pre-closing reorganization, Zhumeng Hulian Technology (Guangdong) Co., Ltd. (“Zhumeng Hulian”) and Guangdong Interconnect Electric Appliances Technology Co., Ltd. (“Guangdong Interconnect”) entered into a new set of VIE contractual arrangements. Consequently, Zhumeng Hulian is regarded as the primary beneficiary of Guangdong Interconnect and the Group consolidates its operational results, assets, and liabilities into the Group’s consolidated financial statements. The transaction was completed on August 31, 2024.</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Prior to the Disposal, Yunmi Hulian and its subsidiaries were classified as “Primary Beneficiaries of VIEs and their Subsidiaries”, while Zhumeng Hulian and its subsidiaries were classified as “Equity Subsidiaries”. Following the completion of the Disposal on August 31, 2024, Yunmi Hulian and its subsidiaries were reclassified as “Equity Subsidiaries”, and Zhumeng Hulian were reclassified as “Primary Beneficiaries of VIEs and their Subsidiaries”. To enhance the comparability of the selected condensed consolidated financial data before and after the Disposal, we combined the condensed consolidated financial data of both “Equity Subsidiaries” and “Primary Beneficiaries of VIEs and their Subsidiaries” as of December 31, 2024 and 2025, and for the years ended December 31, 2023,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Condensed Consolidated Statements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7"/>
          </w:tcPr>
          <w:p>
            <w:pPr>
              <w:jc w:val="right"/>
              <w:ind w:right="901"/>
              <w:spacing w:after="0"/>
              <w:rPr>
                <w:sz w:val="20"/>
                <w:szCs w:val="20"/>
                <w:color w:val="auto"/>
              </w:rPr>
            </w:pPr>
            <w:r>
              <w:rPr>
                <w:rFonts w:ascii="Times New Roman" w:cs="Times New Roman" w:eastAsia="Times New Roman" w:hAnsi="Times New Roman"/>
                <w:sz w:val="17"/>
                <w:szCs w:val="17"/>
                <w:b w:val="1"/>
                <w:bCs w:val="1"/>
                <w:color w:val="auto"/>
              </w:rPr>
              <w:t>For the Year Ended December 31, 2025</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4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1"/>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40" w:type="dxa"/>
            <w:vAlign w:val="bottom"/>
          </w:tcPr>
          <w:p>
            <w:pPr>
              <w:spacing w:after="0"/>
              <w:rPr>
                <w:sz w:val="17"/>
                <w:szCs w:val="17"/>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The</w:t>
            </w:r>
          </w:p>
        </w:tc>
        <w:tc>
          <w:tcPr>
            <w:tcW w:w="180" w:type="dxa"/>
            <w:vAlign w:val="bottom"/>
          </w:tcPr>
          <w:p>
            <w:pPr>
              <w:spacing w:after="0"/>
              <w:rPr>
                <w:sz w:val="17"/>
                <w:szCs w:val="17"/>
                <w:color w:val="auto"/>
              </w:rPr>
            </w:pP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40" w:type="dxa"/>
            <w:vAlign w:val="bottom"/>
          </w:tcPr>
          <w:p>
            <w:pPr>
              <w:spacing w:after="0"/>
              <w:rPr>
                <w:sz w:val="17"/>
                <w:szCs w:val="17"/>
                <w:color w:val="auto"/>
              </w:rPr>
            </w:pP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1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80" w:type="dxa"/>
            <w:vAlign w:val="bottom"/>
          </w:tcPr>
          <w:p>
            <w:pPr>
              <w:spacing w:after="0"/>
              <w:rPr>
                <w:sz w:val="19"/>
                <w:szCs w:val="19"/>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9"/>
                <w:szCs w:val="19"/>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195"/>
        </w:trPr>
        <w:tc>
          <w:tcPr>
            <w:tcW w:w="41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418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Inter-company revenues</w:t>
            </w:r>
            <w:r>
              <w:rPr>
                <w:rFonts w:ascii="Times New Roman" w:cs="Times New Roman" w:eastAsia="Times New Roman" w:hAnsi="Times New Roman"/>
                <w:sz w:val="27"/>
                <w:szCs w:val="27"/>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1,528</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(1,539)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Related-party and third-party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2,428,056</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color w:val="auto"/>
              </w:rPr>
              <w:t>170</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2,428,226</w:t>
            </w:r>
          </w:p>
        </w:tc>
        <w:tc>
          <w:tcPr>
            <w:tcW w:w="100" w:type="dxa"/>
            <w:vAlign w:val="bottom"/>
          </w:tcPr>
          <w:p>
            <w:pPr>
              <w:spacing w:after="0"/>
              <w:rPr>
                <w:sz w:val="18"/>
                <w:szCs w:val="18"/>
                <w:color w:val="auto"/>
              </w:rPr>
            </w:pPr>
          </w:p>
        </w:tc>
      </w:tr>
      <w:tr>
        <w:trPr>
          <w:trHeight w:val="194"/>
        </w:trPr>
        <w:tc>
          <w:tcPr>
            <w:tcW w:w="4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revenues</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2,428,067</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1,698</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(1,539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2,428,226</w:t>
            </w:r>
          </w:p>
        </w:tc>
        <w:tc>
          <w:tcPr>
            <w:tcW w:w="100" w:type="dxa"/>
            <w:vAlign w:val="bottom"/>
            <w:tcBorders>
              <w:top w:val="single" w:sz="8" w:color="CCEEFF"/>
            </w:tcBorders>
            <w:shd w:val="clear" w:color="auto" w:fill="CCEEFF"/>
          </w:tcPr>
          <w:p>
            <w:pPr>
              <w:spacing w:after="0"/>
              <w:rPr>
                <w:sz w:val="16"/>
                <w:szCs w:val="16"/>
                <w:color w:val="auto"/>
              </w:rPr>
            </w:pPr>
          </w:p>
        </w:tc>
      </w:tr>
      <w:tr>
        <w:trPr>
          <w:trHeight w:val="194"/>
        </w:trPr>
        <w:tc>
          <w:tcPr>
            <w:tcW w:w="41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Cost of revenues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(1,811,321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(1,905</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(1,813,226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Research and development expenses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(166,500)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(136)</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1,043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(165,593)</w:t>
            </w:r>
          </w:p>
        </w:tc>
        <w:tc>
          <w:tcPr>
            <w:tcW w:w="100" w:type="dxa"/>
            <w:vAlign w:val="bottom"/>
            <w:shd w:val="clear" w:color="auto" w:fill="CCEEFF"/>
          </w:tcPr>
          <w:p>
            <w:pPr>
              <w:spacing w:after="0"/>
              <w:rPr>
                <w:sz w:val="16"/>
                <w:szCs w:val="16"/>
                <w:color w:val="auto"/>
              </w:rPr>
            </w:pPr>
          </w:p>
        </w:tc>
      </w:tr>
      <w:tr>
        <w:trPr>
          <w:trHeight w:val="20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(278,179)</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color w:val="auto"/>
              </w:rPr>
              <w:t>2</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496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(277,681)</w:t>
            </w: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(4,582)</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(86,123)</w:t>
            </w:r>
          </w:p>
        </w:tc>
      </w:tr>
      <w:tr>
        <w:trPr>
          <w:trHeight w:val="194"/>
        </w:trPr>
        <w:tc>
          <w:tcPr>
            <w:tcW w:w="41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(4,582)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(526,233)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(121)</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1,539</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(529,397)</w:t>
            </w:r>
          </w:p>
        </w:tc>
        <w:tc>
          <w:tcPr>
            <w:tcW w:w="100" w:type="dxa"/>
            <w:vAlign w:val="bottom"/>
          </w:tcPr>
          <w:p>
            <w:pPr>
              <w:spacing w:after="0"/>
              <w:rPr>
                <w:sz w:val="16"/>
                <w:szCs w:val="16"/>
                <w:color w:val="auto"/>
              </w:rPr>
            </w:pPr>
          </w:p>
        </w:tc>
      </w:tr>
      <w:tr>
        <w:trPr>
          <w:trHeight w:val="20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(310)</w:t>
            </w: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43,347</w:t>
            </w:r>
          </w:p>
        </w:tc>
        <w:tc>
          <w:tcPr>
            <w:tcW w:w="17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(86)</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42,951</w:t>
            </w:r>
          </w:p>
        </w:tc>
      </w:tr>
      <w:tr>
        <w:trPr>
          <w:trHeight w:val="252"/>
        </w:trPr>
        <w:tc>
          <w:tcPr>
            <w:tcW w:w="4180" w:type="dxa"/>
            <w:vAlign w:val="bottom"/>
          </w:tcPr>
          <w:p>
            <w:pPr>
              <w:spacing w:after="0" w:line="251" w:lineRule="exact"/>
              <w:rPr>
                <w:sz w:val="20"/>
                <w:szCs w:val="20"/>
                <w:color w:val="auto"/>
              </w:rPr>
            </w:pPr>
            <w:r>
              <w:rPr>
                <w:rFonts w:ascii="Times New Roman" w:cs="Times New Roman" w:eastAsia="Times New Roman" w:hAnsi="Times New Roman"/>
                <w:sz w:val="17"/>
                <w:szCs w:val="17"/>
                <w:color w:val="auto"/>
              </w:rPr>
              <w:t>Equity in (loss)/gain of subsidiaries/VIEs</w:t>
            </w:r>
            <w:r>
              <w:rPr>
                <w:rFonts w:ascii="Times New Roman" w:cs="Times New Roman" w:eastAsia="Times New Roman" w:hAnsi="Times New Roman"/>
                <w:sz w:val="28"/>
                <w:szCs w:val="28"/>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127,470</w:t>
            </w: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(127,059)</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r>
      <w:tr>
        <w:trPr>
          <w:trHeight w:val="194"/>
        </w:trPr>
        <w:tc>
          <w:tcPr>
            <w:tcW w:w="4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Income/(Loss) from operations</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122,578</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133,449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(414)</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(127,059)</w:t>
            </w: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128,554</w:t>
            </w:r>
          </w:p>
        </w:tc>
        <w:tc>
          <w:tcPr>
            <w:tcW w:w="100" w:type="dxa"/>
            <w:vAlign w:val="bottom"/>
            <w:tcBorders>
              <w:top w:val="single" w:sz="8" w:color="CCEEFF"/>
            </w:tcBorders>
            <w:shd w:val="clear" w:color="auto" w:fill="CCEEFF"/>
          </w:tcPr>
          <w:p>
            <w:pPr>
              <w:spacing w:after="0"/>
              <w:rPr>
                <w:sz w:val="16"/>
                <w:szCs w:val="16"/>
                <w:color w:val="auto"/>
              </w:rPr>
            </w:pPr>
          </w:p>
        </w:tc>
      </w:tr>
      <w:tr>
        <w:trPr>
          <w:trHeight w:val="252"/>
        </w:trPr>
        <w:tc>
          <w:tcPr>
            <w:tcW w:w="4180" w:type="dxa"/>
            <w:vAlign w:val="bottom"/>
          </w:tcPr>
          <w:p>
            <w:pPr>
              <w:spacing w:after="0" w:line="251" w:lineRule="exact"/>
              <w:rPr>
                <w:sz w:val="20"/>
                <w:szCs w:val="20"/>
                <w:color w:val="auto"/>
              </w:rPr>
            </w:pPr>
            <w:r>
              <w:rPr>
                <w:rFonts w:ascii="Times New Roman" w:cs="Times New Roman" w:eastAsia="Times New Roman" w:hAnsi="Times New Roman"/>
                <w:sz w:val="17"/>
                <w:szCs w:val="17"/>
                <w:color w:val="auto"/>
              </w:rPr>
              <w:t>Interest income and investment income-net</w:t>
            </w:r>
            <w:r>
              <w:rPr>
                <w:rFonts w:ascii="Times New Roman" w:cs="Times New Roman" w:eastAsia="Times New Roman" w:hAnsi="Times New Roman"/>
                <w:sz w:val="28"/>
                <w:szCs w:val="28"/>
                <w:color w:val="auto"/>
                <w:vertAlign w:val="superscript"/>
              </w:rPr>
              <w:t>(3)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19,066</w:t>
            </w: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7,464</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color w:val="auto"/>
              </w:rPr>
              <w:t>3</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26,533</w:t>
            </w: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non-operating income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194"/>
        </w:trPr>
        <w:tc>
          <w:tcPr>
            <w:tcW w:w="41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Income(Loss) before income tax expenses</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141,644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140,413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(411)</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(127,059)</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154,587</w:t>
            </w:r>
          </w:p>
        </w:tc>
        <w:tc>
          <w:tcPr>
            <w:tcW w:w="100" w:type="dxa"/>
            <w:vAlign w:val="bottom"/>
          </w:tcPr>
          <w:p>
            <w:pPr>
              <w:spacing w:after="0"/>
              <w:rPr>
                <w:sz w:val="16"/>
                <w:szCs w:val="16"/>
                <w:color w:val="auto"/>
              </w:rPr>
            </w:pPr>
          </w:p>
        </w:tc>
      </w:tr>
      <w:tr>
        <w:trPr>
          <w:trHeight w:val="21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credits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(12,658)</w:t>
            </w:r>
          </w:p>
        </w:tc>
      </w:tr>
      <w:tr>
        <w:trPr>
          <w:trHeight w:val="194"/>
        </w:trPr>
        <w:tc>
          <w:tcPr>
            <w:tcW w:w="41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income/(loss)</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141,644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127,755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(411)</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(127,059)</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141,929</w:t>
            </w:r>
          </w:p>
        </w:tc>
        <w:tc>
          <w:tcPr>
            <w:tcW w:w="100" w:type="dxa"/>
            <w:vAlign w:val="bottom"/>
          </w:tcPr>
          <w:p>
            <w:pPr>
              <w:spacing w:after="0"/>
              <w:rPr>
                <w:sz w:val="16"/>
                <w:szCs w:val="16"/>
                <w:color w:val="auto"/>
              </w:rPr>
            </w:pPr>
          </w:p>
        </w:tc>
      </w:tr>
      <w:tr>
        <w:trPr>
          <w:trHeight w:val="185"/>
        </w:trPr>
        <w:tc>
          <w:tcPr>
            <w:tcW w:w="41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Less: Net loss attributable to the non-controlling interest</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285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285</w:t>
            </w:r>
          </w:p>
        </w:tc>
      </w:tr>
      <w:tr>
        <w:trPr>
          <w:trHeight w:val="222"/>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income/(loss) from attributable to the Company</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141,644</w:t>
            </w:r>
          </w:p>
        </w:tc>
        <w:tc>
          <w:tcPr>
            <w:tcW w:w="160" w:type="dxa"/>
            <w:vAlign w:val="bottom"/>
          </w:tcPr>
          <w:p>
            <w:pPr>
              <w:spacing w:after="0"/>
              <w:rPr>
                <w:sz w:val="19"/>
                <w:szCs w:val="19"/>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127,470</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(411)</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b w:val="1"/>
                <w:bCs w:val="1"/>
                <w:color w:val="auto"/>
              </w:rPr>
              <w:t>(127,059)</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141,644</w:t>
            </w:r>
          </w:p>
        </w:tc>
      </w:tr>
      <w:tr>
        <w:trPr>
          <w:trHeight w:val="383"/>
        </w:trPr>
        <w:tc>
          <w:tcPr>
            <w:tcW w:w="4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99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0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7"/>
          </w:tcPr>
          <w:p>
            <w:pPr>
              <w:jc w:val="right"/>
              <w:ind w:right="901"/>
              <w:spacing w:after="0"/>
              <w:rPr>
                <w:sz w:val="20"/>
                <w:szCs w:val="20"/>
                <w:color w:val="auto"/>
              </w:rPr>
            </w:pPr>
            <w:r>
              <w:rPr>
                <w:rFonts w:ascii="Times New Roman" w:cs="Times New Roman" w:eastAsia="Times New Roman" w:hAnsi="Times New Roman"/>
                <w:sz w:val="17"/>
                <w:szCs w:val="17"/>
                <w:b w:val="1"/>
                <w:bCs w:val="1"/>
                <w:color w:val="auto"/>
              </w:rPr>
              <w:t>For the Year Ended December 31, 2024</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1"/>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40" w:type="dxa"/>
            <w:vAlign w:val="bottom"/>
          </w:tcPr>
          <w:p>
            <w:pPr>
              <w:spacing w:after="0"/>
              <w:rPr>
                <w:sz w:val="17"/>
                <w:szCs w:val="17"/>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The</w:t>
            </w:r>
          </w:p>
        </w:tc>
        <w:tc>
          <w:tcPr>
            <w:tcW w:w="180" w:type="dxa"/>
            <w:vAlign w:val="bottom"/>
          </w:tcPr>
          <w:p>
            <w:pPr>
              <w:spacing w:after="0"/>
              <w:rPr>
                <w:sz w:val="17"/>
                <w:szCs w:val="17"/>
                <w:color w:val="auto"/>
              </w:rPr>
            </w:pP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40" w:type="dxa"/>
            <w:vAlign w:val="bottom"/>
          </w:tcPr>
          <w:p>
            <w:pPr>
              <w:spacing w:after="0"/>
              <w:rPr>
                <w:sz w:val="17"/>
                <w:szCs w:val="17"/>
                <w:color w:val="auto"/>
              </w:rPr>
            </w:pP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80" w:type="dxa"/>
            <w:vAlign w:val="bottom"/>
          </w:tcPr>
          <w:p>
            <w:pPr>
              <w:spacing w:after="0"/>
              <w:rPr>
                <w:sz w:val="19"/>
                <w:szCs w:val="19"/>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9"/>
                <w:szCs w:val="19"/>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195"/>
        </w:trPr>
        <w:tc>
          <w:tcPr>
            <w:tcW w:w="1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Inter-company revenues</w:t>
            </w:r>
            <w:r>
              <w:rPr>
                <w:rFonts w:ascii="Times New Roman" w:cs="Times New Roman" w:eastAsia="Times New Roman" w:hAnsi="Times New Roman"/>
                <w:sz w:val="27"/>
                <w:szCs w:val="27"/>
                <w:color w:val="auto"/>
                <w:vertAlign w:val="superscript"/>
              </w:rPr>
              <w:t>(1)</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532,323</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49,679</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(582,002)</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Related-party and third-party revenues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1,215,580</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color w:val="auto"/>
              </w:rPr>
              <w:t>903,402</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2,118,982</w:t>
            </w: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revenues</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1,747,903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953,081</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(582,002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2,118,982</w:t>
            </w:r>
          </w:p>
        </w:tc>
        <w:tc>
          <w:tcPr>
            <w:tcW w:w="100" w:type="dxa"/>
            <w:vAlign w:val="bottom"/>
            <w:tcBorders>
              <w:top w:val="single" w:sz="8" w:color="CCEEFF"/>
            </w:tcBorders>
            <w:shd w:val="clear" w:color="auto" w:fill="CCEEFF"/>
          </w:tcPr>
          <w:p>
            <w:pPr>
              <w:spacing w:after="0"/>
              <w:rPr>
                <w:sz w:val="16"/>
                <w:szCs w:val="16"/>
                <w:color w:val="auto"/>
              </w:rPr>
            </w:pP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Cost of revenues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(1,434,056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(845,527</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709,307</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(1,570,276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Research and development expenses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(99,470)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(44,692)</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1,278</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(142,884)</w:t>
            </w:r>
          </w:p>
        </w:tc>
        <w:tc>
          <w:tcPr>
            <w:tcW w:w="100" w:type="dxa"/>
            <w:vAlign w:val="bottom"/>
            <w:shd w:val="clear" w:color="auto" w:fill="CCEEFF"/>
          </w:tcPr>
          <w:p>
            <w:pPr>
              <w:spacing w:after="0"/>
              <w:rPr>
                <w:sz w:val="16"/>
                <w:szCs w:val="16"/>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(155,674)</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(77,433)</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21,934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(211,173)</w:t>
            </w: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(5,768)</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(56,513)</w:t>
            </w:r>
          </w:p>
        </w:tc>
        <w:tc>
          <w:tcPr>
            <w:tcW w:w="17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(11,807)</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3,281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(70,807)</w:t>
            </w:r>
          </w:p>
        </w:tc>
      </w:tr>
      <w:tr>
        <w:trPr>
          <w:trHeight w:val="194"/>
        </w:trPr>
        <w:tc>
          <w:tcPr>
            <w:tcW w:w="41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(5,768)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(311,657)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(133,932)</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26,493</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(424,864)</w:t>
            </w:r>
          </w:p>
        </w:tc>
        <w:tc>
          <w:tcPr>
            <w:tcW w:w="100" w:type="dxa"/>
            <w:vAlign w:val="bottom"/>
          </w:tcPr>
          <w:p>
            <w:pPr>
              <w:spacing w:after="0"/>
              <w:rPr>
                <w:sz w:val="16"/>
                <w:szCs w:val="16"/>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21,609</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10,883</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32,492</w:t>
            </w:r>
          </w:p>
        </w:tc>
      </w:tr>
      <w:tr>
        <w:trPr>
          <w:trHeight w:val="252"/>
        </w:trPr>
        <w:tc>
          <w:tcPr>
            <w:tcW w:w="4180" w:type="dxa"/>
            <w:vAlign w:val="bottom"/>
            <w:gridSpan w:val="2"/>
          </w:tcPr>
          <w:p>
            <w:pPr>
              <w:spacing w:after="0" w:line="251" w:lineRule="exact"/>
              <w:rPr>
                <w:sz w:val="20"/>
                <w:szCs w:val="20"/>
                <w:color w:val="auto"/>
              </w:rPr>
            </w:pPr>
            <w:r>
              <w:rPr>
                <w:rFonts w:ascii="Times New Roman" w:cs="Times New Roman" w:eastAsia="Times New Roman" w:hAnsi="Times New Roman"/>
                <w:sz w:val="17"/>
                <w:szCs w:val="17"/>
                <w:color w:val="auto"/>
              </w:rPr>
              <w:t>Equity in gain of subsidiaries/VIEs</w:t>
            </w:r>
            <w:r>
              <w:rPr>
                <w:rFonts w:ascii="Times New Roman" w:cs="Times New Roman" w:eastAsia="Times New Roman" w:hAnsi="Times New Roman"/>
                <w:sz w:val="28"/>
                <w:szCs w:val="28"/>
                <w:color w:val="auto"/>
                <w:vertAlign w:val="superscript"/>
              </w:rPr>
              <w:t>(2)(4)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78,525</w:t>
            </w: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81,687</w:t>
            </w:r>
          </w:p>
        </w:tc>
        <w:tc>
          <w:tcPr>
            <w:tcW w:w="240" w:type="dxa"/>
            <w:vAlign w:val="bottom"/>
          </w:tcPr>
          <w:p>
            <w:pPr>
              <w:spacing w:after="0"/>
              <w:rPr>
                <w:sz w:val="21"/>
                <w:szCs w:val="21"/>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(160,212)</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Income/(Loss) from operations</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72,757</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105,486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(15,495)</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(6,414)</w:t>
            </w: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156,334</w:t>
            </w:r>
          </w:p>
        </w:tc>
        <w:tc>
          <w:tcPr>
            <w:tcW w:w="100" w:type="dxa"/>
            <w:vAlign w:val="bottom"/>
            <w:tcBorders>
              <w:top w:val="single" w:sz="8" w:color="CCEEFF"/>
            </w:tcBorders>
            <w:shd w:val="clear" w:color="auto" w:fill="CCEEFF"/>
          </w:tcPr>
          <w:p>
            <w:pPr>
              <w:spacing w:after="0"/>
              <w:rPr>
                <w:sz w:val="16"/>
                <w:szCs w:val="16"/>
                <w:color w:val="auto"/>
              </w:rPr>
            </w:pPr>
          </w:p>
        </w:tc>
      </w:tr>
      <w:tr>
        <w:trPr>
          <w:trHeight w:val="252"/>
        </w:trPr>
        <w:tc>
          <w:tcPr>
            <w:tcW w:w="4180" w:type="dxa"/>
            <w:vAlign w:val="bottom"/>
            <w:gridSpan w:val="2"/>
          </w:tcPr>
          <w:p>
            <w:pPr>
              <w:spacing w:after="0" w:line="251" w:lineRule="exact"/>
              <w:rPr>
                <w:sz w:val="20"/>
                <w:szCs w:val="20"/>
                <w:color w:val="auto"/>
              </w:rPr>
            </w:pPr>
            <w:r>
              <w:rPr>
                <w:rFonts w:ascii="Times New Roman" w:cs="Times New Roman" w:eastAsia="Times New Roman" w:hAnsi="Times New Roman"/>
                <w:sz w:val="17"/>
                <w:szCs w:val="17"/>
                <w:color w:val="auto"/>
              </w:rPr>
              <w:t>Interest (expenses)/income and investment income-net</w:t>
            </w:r>
            <w:r>
              <w:rPr>
                <w:rFonts w:ascii="Times New Roman" w:cs="Times New Roman" w:eastAsia="Times New Roman" w:hAnsi="Times New Roman"/>
                <w:sz w:val="28"/>
                <w:szCs w:val="28"/>
                <w:color w:val="auto"/>
                <w:vertAlign w:val="superscript"/>
              </w:rPr>
              <w:t>(3)</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(7,932)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(20,471)</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color w:val="auto"/>
              </w:rPr>
              <w:t>23,667</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10,000</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5,264</w:t>
            </w: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 before income tax expenses</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64,825</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85,015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8,172</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3,586</w:t>
            </w: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161,598</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credits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(16,901)</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(12)</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(16,913)</w:t>
            </w: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income/(loss) from continuing operations</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64,825</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68,114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8,160</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3,586</w:t>
            </w: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144,685</w:t>
            </w:r>
          </w:p>
        </w:tc>
        <w:tc>
          <w:tcPr>
            <w:tcW w:w="100" w:type="dxa"/>
            <w:vAlign w:val="bottom"/>
            <w:tcBorders>
              <w:top w:val="single" w:sz="8" w:color="CCEEFF"/>
            </w:tcBorders>
            <w:shd w:val="clear" w:color="auto" w:fill="CCEEFF"/>
          </w:tcPr>
          <w:p>
            <w:pPr>
              <w:spacing w:after="0"/>
              <w:rPr>
                <w:sz w:val="16"/>
                <w:szCs w:val="16"/>
                <w:color w:val="auto"/>
              </w:rPr>
            </w:pPr>
          </w:p>
        </w:tc>
      </w:tr>
      <w:tr>
        <w:trPr>
          <w:trHeight w:val="185"/>
        </w:trPr>
        <w:tc>
          <w:tcPr>
            <w:tcW w:w="41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Less: Net loss from continuing operations attributable to</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non-controlling interest shareholders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343</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(22)</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321</w:t>
            </w:r>
          </w:p>
        </w:tc>
      </w:tr>
      <w:tr>
        <w:trPr>
          <w:trHeight w:val="182"/>
        </w:trPr>
        <w:tc>
          <w:tcPr>
            <w:tcW w:w="41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Net income from continuing operations attributable to</w:t>
            </w: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the Company</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64,825</w:t>
            </w: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67,771</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8,182</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3,586</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144,364</w:t>
            </w:r>
          </w:p>
        </w:tc>
      </w:tr>
      <w:tr>
        <w:trPr>
          <w:trHeight w:val="187"/>
        </w:trPr>
        <w:tc>
          <w:tcPr>
            <w:tcW w:w="41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Net loss from discontinued operations attributable to the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4180" w:type="dxa"/>
            <w:vAlign w:val="bottom"/>
            <w:gridSpan w:val="2"/>
          </w:tcPr>
          <w:p>
            <w:pPr>
              <w:spacing w:after="0" w:line="254" w:lineRule="exact"/>
              <w:rPr>
                <w:sz w:val="20"/>
                <w:szCs w:val="20"/>
                <w:color w:val="auto"/>
              </w:rPr>
            </w:pPr>
            <w:r>
              <w:rPr>
                <w:rFonts w:ascii="Times New Roman" w:cs="Times New Roman" w:eastAsia="Times New Roman" w:hAnsi="Times New Roman"/>
                <w:sz w:val="17"/>
                <w:szCs w:val="17"/>
                <w:color w:val="auto"/>
              </w:rPr>
              <w:t>Company</w:t>
            </w:r>
            <w:r>
              <w:rPr>
                <w:rFonts w:ascii="Times New Roman" w:cs="Times New Roman" w:eastAsia="Times New Roman" w:hAnsi="Times New Roman"/>
                <w:sz w:val="28"/>
                <w:szCs w:val="28"/>
                <w:color w:val="auto"/>
                <w:vertAlign w:val="superscript"/>
              </w:rPr>
              <w:t>(4)</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(1,411)</w:t>
            </w: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9,330</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(79,539)</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(9,330)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(80,950)</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income/(loss) from attributable to the Company</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63,414</w:t>
            </w: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77,101</w:t>
            </w:r>
          </w:p>
        </w:tc>
        <w:tc>
          <w:tcPr>
            <w:tcW w:w="17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(71,357)</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b w:val="1"/>
                <w:bCs w:val="1"/>
                <w:color w:val="auto"/>
              </w:rPr>
              <w:t>(5,744)</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63,414</w:t>
            </w:r>
          </w:p>
        </w:tc>
      </w:tr>
      <w:tr>
        <w:trPr>
          <w:trHeight w:val="403"/>
        </w:trPr>
        <w:tc>
          <w:tcPr>
            <w:tcW w:w="1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996"/>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09"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0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7"/>
          </w:tcPr>
          <w:p>
            <w:pPr>
              <w:jc w:val="right"/>
              <w:ind w:right="901"/>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1"/>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40" w:type="dxa"/>
            <w:vAlign w:val="bottom"/>
          </w:tcPr>
          <w:p>
            <w:pPr>
              <w:spacing w:after="0"/>
              <w:rPr>
                <w:sz w:val="17"/>
                <w:szCs w:val="17"/>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The</w:t>
            </w: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40" w:type="dxa"/>
            <w:vAlign w:val="bottom"/>
          </w:tcPr>
          <w:p>
            <w:pPr>
              <w:spacing w:after="0"/>
              <w:rPr>
                <w:sz w:val="17"/>
                <w:szCs w:val="17"/>
                <w:color w:val="auto"/>
              </w:rPr>
            </w:pP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9"/>
                <w:szCs w:val="19"/>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Inter-company revenues</w:t>
            </w:r>
            <w:r>
              <w:rPr>
                <w:rFonts w:ascii="Times New Roman" w:cs="Times New Roman" w:eastAsia="Times New Roman" w:hAnsi="Times New Roman"/>
                <w:sz w:val="27"/>
                <w:szCs w:val="27"/>
                <w:color w:val="auto"/>
                <w:vertAlign w:val="superscript"/>
              </w:rPr>
              <w:t>(1)</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789,785</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23,344</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(813,129)</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Related-party and third-party revenues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205,664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1,433,072</w:t>
            </w:r>
          </w:p>
        </w:tc>
        <w:tc>
          <w:tcPr>
            <w:tcW w:w="34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revenues</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995,449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1,456,416</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(813,129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1,638,736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Cost of revenues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(785,736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(1,140,254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809,270</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(1,116,720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Research and development expenses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(59,858)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(89,021)</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(148,879)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Selling and marketing expenses</w:t>
            </w:r>
            <w:r>
              <w:rPr>
                <w:rFonts w:ascii="Times New Roman" w:cs="Times New Roman" w:eastAsia="Times New Roman" w:hAnsi="Times New Roman"/>
                <w:sz w:val="27"/>
                <w:szCs w:val="27"/>
                <w:color w:val="auto"/>
                <w:vertAlign w:val="superscript"/>
              </w:rPr>
              <w:t>(1)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(111,961)</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(182,496)</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79,847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(214,610)</w:t>
            </w:r>
          </w:p>
        </w:tc>
        <w:tc>
          <w:tcPr>
            <w:tcW w:w="0" w:type="dxa"/>
            <w:vAlign w:val="bottom"/>
          </w:tcPr>
          <w:p>
            <w:pPr>
              <w:spacing w:after="0"/>
              <w:rPr>
                <w:sz w:val="1"/>
                <w:szCs w:val="1"/>
                <w:color w:val="auto"/>
              </w:rPr>
            </w:pPr>
          </w:p>
        </w:tc>
      </w:tr>
      <w:tr>
        <w:trPr>
          <w:trHeight w:val="252"/>
        </w:trPr>
        <w:tc>
          <w:tcPr>
            <w:tcW w:w="41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8"/>
                <w:szCs w:val="28"/>
                <w:color w:val="auto"/>
                <w:vertAlign w:val="superscript"/>
              </w:rPr>
              <w:t>(1)</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(5,072)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(20,628)</w:t>
            </w:r>
          </w:p>
        </w:tc>
        <w:tc>
          <w:tcPr>
            <w:tcW w:w="17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(33,746)</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2,100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(57,346)</w:t>
            </w:r>
          </w:p>
        </w:tc>
        <w:tc>
          <w:tcPr>
            <w:tcW w:w="0" w:type="dxa"/>
            <w:vAlign w:val="bottom"/>
          </w:tcPr>
          <w:p>
            <w:pPr>
              <w:spacing w:after="0"/>
              <w:rPr>
                <w:sz w:val="1"/>
                <w:szCs w:val="1"/>
                <w:color w:val="auto"/>
              </w:rPr>
            </w:pPr>
          </w:p>
        </w:tc>
      </w:tr>
      <w:tr>
        <w:trPr>
          <w:trHeight w:val="194"/>
        </w:trPr>
        <w:tc>
          <w:tcPr>
            <w:tcW w:w="41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(5,072)</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(192,447)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(305,263)</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81,947</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(420,835)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7,370</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1,517</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8,887</w:t>
            </w:r>
          </w:p>
        </w:tc>
        <w:tc>
          <w:tcPr>
            <w:tcW w:w="0" w:type="dxa"/>
            <w:vAlign w:val="bottom"/>
          </w:tcPr>
          <w:p>
            <w:pPr>
              <w:spacing w:after="0"/>
              <w:rPr>
                <w:sz w:val="1"/>
                <w:szCs w:val="1"/>
                <w:color w:val="auto"/>
              </w:rPr>
            </w:pPr>
          </w:p>
        </w:tc>
      </w:tr>
      <w:tr>
        <w:trPr>
          <w:trHeight w:val="252"/>
        </w:trPr>
        <w:tc>
          <w:tcPr>
            <w:tcW w:w="4180" w:type="dxa"/>
            <w:vAlign w:val="bottom"/>
            <w:gridSpan w:val="2"/>
          </w:tcPr>
          <w:p>
            <w:pPr>
              <w:spacing w:after="0" w:line="251" w:lineRule="exact"/>
              <w:rPr>
                <w:sz w:val="20"/>
                <w:szCs w:val="20"/>
                <w:color w:val="auto"/>
              </w:rPr>
            </w:pPr>
            <w:r>
              <w:rPr>
                <w:rFonts w:ascii="Times New Roman" w:cs="Times New Roman" w:eastAsia="Times New Roman" w:hAnsi="Times New Roman"/>
                <w:sz w:val="17"/>
                <w:szCs w:val="17"/>
                <w:color w:val="auto"/>
              </w:rPr>
              <w:t>Equity in loss of subsidiaries/VIEs</w:t>
            </w:r>
            <w:r>
              <w:rPr>
                <w:rFonts w:ascii="Times New Roman" w:cs="Times New Roman" w:eastAsia="Times New Roman" w:hAnsi="Times New Roman"/>
                <w:sz w:val="28"/>
                <w:szCs w:val="28"/>
                <w:color w:val="auto"/>
                <w:vertAlign w:val="superscript"/>
              </w:rPr>
              <w:t>(2)</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(74,290)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(178,945)</w:t>
            </w:r>
          </w:p>
        </w:tc>
        <w:tc>
          <w:tcPr>
            <w:tcW w:w="240" w:type="dxa"/>
            <w:vAlign w:val="bottom"/>
          </w:tcPr>
          <w:p>
            <w:pPr>
              <w:spacing w:after="0"/>
              <w:rPr>
                <w:sz w:val="21"/>
                <w:szCs w:val="21"/>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253,235</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Income/(Loss) from operations</w:t>
            </w: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(79,362)</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(154,309)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12,416</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331,323</w:t>
            </w: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110,068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180" w:type="dxa"/>
            <w:vAlign w:val="bottom"/>
            <w:gridSpan w:val="2"/>
          </w:tcPr>
          <w:p>
            <w:pPr>
              <w:spacing w:after="0" w:line="225" w:lineRule="exact"/>
              <w:rPr>
                <w:sz w:val="20"/>
                <w:szCs w:val="20"/>
                <w:color w:val="auto"/>
              </w:rPr>
            </w:pPr>
            <w:r>
              <w:rPr>
                <w:rFonts w:ascii="Times New Roman" w:cs="Times New Roman" w:eastAsia="Times New Roman" w:hAnsi="Times New Roman"/>
                <w:sz w:val="16"/>
                <w:szCs w:val="16"/>
                <w:color w:val="auto"/>
              </w:rPr>
              <w:t>Interest (expenses)/income and investment income-net</w:t>
            </w:r>
            <w:r>
              <w:rPr>
                <w:rFonts w:ascii="Times New Roman" w:cs="Times New Roman" w:eastAsia="Times New Roman" w:hAnsi="Times New Roman"/>
                <w:sz w:val="26"/>
                <w:szCs w:val="26"/>
                <w:color w:val="auto"/>
                <w:vertAlign w:val="superscript"/>
              </w:rPr>
              <w:t>(3)</w:t>
            </w:r>
          </w:p>
        </w:tc>
        <w:tc>
          <w:tcPr>
            <w:tcW w:w="1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(7,006)</w:t>
            </w:r>
          </w:p>
        </w:tc>
        <w:tc>
          <w:tcPr>
            <w:tcW w:w="12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7"/>
                <w:szCs w:val="17"/>
                <w:color w:val="auto"/>
              </w:rPr>
              <w:t>2,342</w:t>
            </w:r>
          </w:p>
        </w:tc>
        <w:tc>
          <w:tcPr>
            <w:tcW w:w="17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auto"/>
              </w:rPr>
              <w:t>21,495</w:t>
            </w:r>
          </w:p>
        </w:tc>
        <w:tc>
          <w:tcPr>
            <w:tcW w:w="144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7"/>
                <w:szCs w:val="17"/>
                <w:color w:val="auto"/>
              </w:rPr>
              <w:t>16,831</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29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non-operating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3,164</w:t>
            </w:r>
          </w:p>
        </w:tc>
        <w:tc>
          <w:tcPr>
            <w:tcW w:w="0" w:type="dxa"/>
            <w:vAlign w:val="bottom"/>
          </w:tcPr>
          <w:p>
            <w:pPr>
              <w:spacing w:after="0"/>
              <w:rPr>
                <w:sz w:val="1"/>
                <w:szCs w:val="1"/>
                <w:color w:val="auto"/>
              </w:rPr>
            </w:pPr>
          </w:p>
        </w:tc>
      </w:tr>
      <w:tr>
        <w:trPr>
          <w:trHeight w:val="194"/>
        </w:trPr>
        <w:tc>
          <w:tcPr>
            <w:tcW w:w="41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Income(Loss) before income tax expenses</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(83,204)</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(151,967)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33,911</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331,323</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130,063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credits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(8,723)</w:t>
            </w:r>
          </w:p>
        </w:tc>
        <w:tc>
          <w:tcPr>
            <w:tcW w:w="17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(4,865)</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(13,588)</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income/(loss) from continuing operations</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(83,204)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(160,690)</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29,046</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331,323</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116,475</w:t>
            </w:r>
          </w:p>
        </w:tc>
        <w:tc>
          <w:tcPr>
            <w:tcW w:w="0" w:type="dxa"/>
            <w:vAlign w:val="bottom"/>
          </w:tcPr>
          <w:p>
            <w:pPr>
              <w:spacing w:after="0"/>
              <w:rPr>
                <w:sz w:val="1"/>
                <w:szCs w:val="1"/>
                <w:color w:val="auto"/>
              </w:rPr>
            </w:pPr>
          </w:p>
        </w:tc>
      </w:tr>
      <w:tr>
        <w:trPr>
          <w:trHeight w:val="185"/>
        </w:trPr>
        <w:tc>
          <w:tcPr>
            <w:tcW w:w="41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Less: Net loss from continuing operations attributable to</w:t>
            </w: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non-controlling interest shareholders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(293)</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161"/>
        </w:trPr>
        <w:tc>
          <w:tcPr>
            <w:tcW w:w="418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Net income/(loss) from continuing operations</w:t>
            </w: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attributable to the Company</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(83,204)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(160,690)</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29,339</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331,323</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116,768</w:t>
            </w:r>
          </w:p>
        </w:tc>
        <w:tc>
          <w:tcPr>
            <w:tcW w:w="0" w:type="dxa"/>
            <w:vAlign w:val="bottom"/>
          </w:tcPr>
          <w:p>
            <w:pPr>
              <w:spacing w:after="0"/>
              <w:rPr>
                <w:sz w:val="1"/>
                <w:szCs w:val="1"/>
                <w:color w:val="auto"/>
              </w:rPr>
            </w:pPr>
          </w:p>
        </w:tc>
      </w:tr>
      <w:tr>
        <w:trPr>
          <w:trHeight w:val="187"/>
        </w:trPr>
        <w:tc>
          <w:tcPr>
            <w:tcW w:w="41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Net income/(loss) from discontinued operations</w:t>
            </w: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180" w:type="dxa"/>
            <w:vAlign w:val="bottom"/>
            <w:gridSpan w:val="2"/>
            <w:shd w:val="clear" w:color="auto" w:fill="CCEEFF"/>
          </w:tcPr>
          <w:p>
            <w:pPr>
              <w:spacing w:after="0" w:line="254" w:lineRule="exact"/>
              <w:rPr>
                <w:sz w:val="20"/>
                <w:szCs w:val="20"/>
                <w:color w:val="auto"/>
              </w:rPr>
            </w:pPr>
            <w:r>
              <w:rPr>
                <w:rFonts w:ascii="Times New Roman" w:cs="Times New Roman" w:eastAsia="Times New Roman" w:hAnsi="Times New Roman"/>
                <w:sz w:val="17"/>
                <w:szCs w:val="17"/>
                <w:color w:val="auto"/>
              </w:rPr>
              <w:t>attributable to the Company</w:t>
            </w:r>
            <w:r>
              <w:rPr>
                <w:rFonts w:ascii="Times New Roman" w:cs="Times New Roman" w:eastAsia="Times New Roman" w:hAnsi="Times New Roman"/>
                <w:sz w:val="28"/>
                <w:szCs w:val="28"/>
                <w:color w:val="auto"/>
                <w:vertAlign w:val="superscript"/>
              </w:rPr>
              <w:t>(4)</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(1,470)</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40,713</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(240,685)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(201,442)</w:t>
            </w: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income/(loss) from attributable to the Company</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(84,674)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(160,690)</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70,052</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90,638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(84,674)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1785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jc w:val="both"/>
        <w:ind w:left="300" w:hanging="299"/>
        <w:spacing w:after="0" w:line="261"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represents the elimination of inter-company transactions among the VIEs and equity subsidiaries and primary beneficiaries of VIEs and their subsidiaries. In 2023, 2024 and 2025, primary beneficiaries of VIEs and their subsidiaries did not charge any service fee from our VIEs in China under the exclusive consultation and service agreements.</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represents the elimination of the investment in VIEs and subsidiaries by the Company.</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represents the elimination of finance costs of loans among the Company, the VIEs and our subsidiaries charged at the consolidation level.</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adjustments were made retrospectively in the selected condensed consolidated financial data for the years ended December 31, 2023 and 2024 to reallocate the transactions pertaining to discontinued operations and reflect the corresponding effects more properly in the consolidating schedule.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6"/>
              </w:rPr>
              <w:t>Table of Contents</w:t>
            </w: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1"/>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Condensed Consolidated Balance Sheets Data</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7"/>
          </w:tcPr>
          <w:p>
            <w:pPr>
              <w:jc w:val="center"/>
              <w:ind w:right="281"/>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 2025</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60"/>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6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The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6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Company</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6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195"/>
        </w:trPr>
        <w:tc>
          <w:tcPr>
            <w:tcW w:w="1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2,918</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469,483</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334,198</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806,599</w:t>
            </w: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34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79,931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82,598</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from third parties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25,720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(1,185)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24,535</w:t>
            </w: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receivable from related parties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294,958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45,215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340,173</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126,811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126,879</w:t>
            </w: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Amounts due from Group companies</w:t>
            </w:r>
            <w:r>
              <w:rPr>
                <w:rFonts w:ascii="Times New Roman" w:cs="Times New Roman" w:eastAsia="Times New Roman" w:hAnsi="Times New Roman"/>
                <w:sz w:val="27"/>
                <w:szCs w:val="27"/>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501,851</w:t>
            </w:r>
          </w:p>
        </w:tc>
        <w:tc>
          <w:tcPr>
            <w:tcW w:w="3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73,731</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173,911</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(749,493)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Investments in subsidiaries</w:t>
            </w:r>
            <w:r>
              <w:rPr>
                <w:rFonts w:ascii="Times New Roman" w:cs="Times New Roman" w:eastAsia="Times New Roman" w:hAnsi="Times New Roman"/>
                <w:sz w:val="27"/>
                <w:szCs w:val="27"/>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471,430</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(471,430)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Investments in VIEs</w:t>
            </w:r>
            <w:r>
              <w:rPr>
                <w:rFonts w:ascii="Times New Roman" w:cs="Times New Roman" w:eastAsia="Times New Roman" w:hAnsi="Times New Roman"/>
                <w:sz w:val="27"/>
                <w:szCs w:val="27"/>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506,061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(506,061)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660,149</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758,191</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5,163</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(413,339)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1,010,164</w:t>
            </w:r>
          </w:p>
        </w:tc>
        <w:tc>
          <w:tcPr>
            <w:tcW w:w="100" w:type="dxa"/>
            <w:vAlign w:val="bottom"/>
            <w:shd w:val="clear" w:color="auto" w:fill="CCEEFF"/>
          </w:tcPr>
          <w:p>
            <w:pPr>
              <w:spacing w:after="0"/>
              <w:rPr>
                <w:sz w:val="18"/>
                <w:szCs w:val="18"/>
                <w:color w:val="auto"/>
              </w:rPr>
            </w:pPr>
          </w:p>
        </w:tc>
      </w:tr>
      <w:tr>
        <w:trPr>
          <w:trHeight w:val="247"/>
        </w:trPr>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1,639,015</w:t>
            </w:r>
          </w:p>
        </w:tc>
        <w:tc>
          <w:tcPr>
            <w:tcW w:w="3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2,334,886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513,340</w:t>
            </w:r>
          </w:p>
        </w:tc>
        <w:tc>
          <w:tcPr>
            <w:tcW w:w="3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(2,096,293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2,390,948</w:t>
            </w:r>
          </w:p>
        </w:tc>
        <w:tc>
          <w:tcPr>
            <w:tcW w:w="100" w:type="dxa"/>
            <w:vAlign w:val="bottom"/>
            <w:tcBorders>
              <w:bottom w:val="single" w:sz="8" w:color="CCEEFF"/>
            </w:tcBorders>
          </w:tcPr>
          <w:p>
            <w:pPr>
              <w:spacing w:after="0"/>
              <w:rPr>
                <w:sz w:val="21"/>
                <w:szCs w:val="21"/>
                <w:color w:val="auto"/>
              </w:rPr>
            </w:pPr>
          </w:p>
        </w:tc>
      </w:tr>
      <w:tr>
        <w:trPr>
          <w:trHeight w:val="180"/>
        </w:trPr>
        <w:tc>
          <w:tcPr>
            <w:tcW w:w="41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863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516,989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40" w:type="dxa"/>
            <w:vAlign w:val="bottom"/>
          </w:tcPr>
          <w:p>
            <w:pPr>
              <w:spacing w:after="0"/>
              <w:rPr>
                <w:sz w:val="17"/>
                <w:szCs w:val="17"/>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517,878</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199,699</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5,853</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210,160</w:t>
            </w: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Amounts due to Group companies</w:t>
            </w:r>
            <w:r>
              <w:rPr>
                <w:rFonts w:ascii="Times New Roman" w:cs="Times New Roman" w:eastAsia="Times New Roman" w:hAnsi="Times New Roman"/>
                <w:sz w:val="27"/>
                <w:szCs w:val="27"/>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106,881</w:t>
            </w:r>
          </w:p>
        </w:tc>
        <w:tc>
          <w:tcPr>
            <w:tcW w:w="3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642,518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34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(749,493)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130,645</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1,305</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(1,304)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130,646</w:t>
            </w:r>
          </w:p>
        </w:tc>
      </w:tr>
      <w:tr>
        <w:trPr>
          <w:trHeight w:val="247"/>
        </w:trPr>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112,352</w:t>
            </w:r>
          </w:p>
        </w:tc>
        <w:tc>
          <w:tcPr>
            <w:tcW w:w="3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1,489,851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7,278</w:t>
            </w:r>
          </w:p>
        </w:tc>
        <w:tc>
          <w:tcPr>
            <w:tcW w:w="3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(750,797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858,684</w:t>
            </w:r>
          </w:p>
        </w:tc>
        <w:tc>
          <w:tcPr>
            <w:tcW w:w="100" w:type="dxa"/>
            <w:vAlign w:val="bottom"/>
            <w:tcBorders>
              <w:bottom w:val="single" w:sz="8" w:color="CCEEFF"/>
            </w:tcBorders>
          </w:tcPr>
          <w:p>
            <w:pPr>
              <w:spacing w:after="0"/>
              <w:rPr>
                <w:sz w:val="21"/>
                <w:szCs w:val="21"/>
                <w:color w:val="auto"/>
              </w:rPr>
            </w:pPr>
          </w:p>
        </w:tc>
      </w:tr>
      <w:tr>
        <w:trPr>
          <w:trHeight w:val="180"/>
        </w:trPr>
        <w:tc>
          <w:tcPr>
            <w:tcW w:w="418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Total equity attributable to shareholders of the Company</w:t>
            </w: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1,526,663</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839,435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506,061</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(1,345,496)</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1,526,663</w:t>
            </w:r>
          </w:p>
        </w:tc>
        <w:tc>
          <w:tcPr>
            <w:tcW w:w="100" w:type="dxa"/>
            <w:vAlign w:val="bottom"/>
            <w:shd w:val="clear" w:color="auto" w:fill="CCEEFF"/>
          </w:tcPr>
          <w:p>
            <w:pPr>
              <w:spacing w:after="0"/>
              <w:rPr>
                <w:sz w:val="15"/>
                <w:szCs w:val="15"/>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5,601</w:t>
            </w: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1,526,663</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845,036</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506,061</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(1,345,496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1,532,264</w:t>
            </w:r>
          </w:p>
        </w:tc>
        <w:tc>
          <w:tcPr>
            <w:tcW w:w="100" w:type="dxa"/>
            <w:vAlign w:val="bottom"/>
            <w:tcBorders>
              <w:top w:val="single" w:sz="8" w:color="CCEEFF"/>
            </w:tcBorders>
            <w:shd w:val="clear" w:color="auto" w:fill="CCEEFF"/>
          </w:tcPr>
          <w:p>
            <w:pPr>
              <w:spacing w:after="0"/>
              <w:rPr>
                <w:sz w:val="16"/>
                <w:szCs w:val="16"/>
                <w:color w:val="auto"/>
              </w:rPr>
            </w:pPr>
          </w:p>
        </w:tc>
      </w:t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1,639,015</w:t>
            </w:r>
          </w:p>
        </w:tc>
        <w:tc>
          <w:tcPr>
            <w:tcW w:w="3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2,334,887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513,339</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(2,096,293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2,390,948</w:t>
            </w:r>
          </w:p>
        </w:tc>
        <w:tc>
          <w:tcPr>
            <w:tcW w:w="1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7"/>
          </w:tcPr>
          <w:p>
            <w:pPr>
              <w:jc w:val="center"/>
              <w:ind w:right="281"/>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 2024</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60"/>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6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The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6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Company</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6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195"/>
        </w:trPr>
        <w:tc>
          <w:tcPr>
            <w:tcW w:w="1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164,583</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854,426</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7,179</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1,026,188</w:t>
            </w:r>
          </w:p>
        </w:tc>
        <w:tc>
          <w:tcPr>
            <w:tcW w:w="100" w:type="dxa"/>
            <w:vAlign w:val="bottom"/>
            <w:shd w:val="clear" w:color="auto" w:fill="CCEEFF"/>
          </w:tcPr>
          <w:p>
            <w:pPr>
              <w:spacing w:after="0"/>
              <w:rPr>
                <w:sz w:val="17"/>
                <w:szCs w:val="17"/>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72,500</w:t>
            </w:r>
          </w:p>
        </w:tc>
        <w:tc>
          <w:tcPr>
            <w:tcW w:w="26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72,500</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from third parties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24,043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24,105</w:t>
            </w: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receivable from a related party</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591,221</w:t>
            </w:r>
          </w:p>
        </w:tc>
        <w:tc>
          <w:tcPr>
            <w:tcW w:w="26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591,221</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112,257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112,325</w:t>
            </w: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Amounts due from Group companies</w:t>
            </w:r>
            <w:r>
              <w:rPr>
                <w:rFonts w:ascii="Times New Roman" w:cs="Times New Roman" w:eastAsia="Times New Roman" w:hAnsi="Times New Roman"/>
                <w:sz w:val="27"/>
                <w:szCs w:val="27"/>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542,635</w:t>
            </w:r>
          </w:p>
        </w:tc>
        <w:tc>
          <w:tcPr>
            <w:tcW w:w="3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498,455</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(1,041,090)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Investments in subsidiaries</w:t>
            </w:r>
            <w:r>
              <w:rPr>
                <w:rFonts w:ascii="Times New Roman" w:cs="Times New Roman" w:eastAsia="Times New Roman" w:hAnsi="Times New Roman"/>
                <w:sz w:val="27"/>
                <w:szCs w:val="27"/>
                <w:color w:val="auto"/>
                <w:vertAlign w:val="superscript"/>
              </w:rPr>
              <w:t>(2)(4)</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696,911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(696,911)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Investments in VIEs</w:t>
            </w:r>
            <w:r>
              <w:rPr>
                <w:rFonts w:ascii="Times New Roman" w:cs="Times New Roman" w:eastAsia="Times New Roman" w:hAnsi="Times New Roman"/>
                <w:sz w:val="27"/>
                <w:szCs w:val="27"/>
                <w:color w:val="auto"/>
                <w:vertAlign w:val="superscript"/>
              </w:rPr>
              <w:t>(2)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506,482</w:t>
            </w:r>
          </w:p>
        </w:tc>
        <w:tc>
          <w:tcPr>
            <w:tcW w:w="26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(506,482)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132,063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620,860</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6,438</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759,361</w:t>
            </w:r>
          </w:p>
        </w:tc>
      </w:tr>
      <w:tr>
        <w:trPr>
          <w:trHeight w:val="247"/>
        </w:trPr>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1,536,192</w:t>
            </w:r>
          </w:p>
        </w:tc>
        <w:tc>
          <w:tcPr>
            <w:tcW w:w="3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2,781,789</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512,202</w:t>
            </w:r>
          </w:p>
        </w:tc>
        <w:tc>
          <w:tcPr>
            <w:tcW w:w="3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(2,244,483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2,585,700</w:t>
            </w:r>
          </w:p>
        </w:tc>
        <w:tc>
          <w:tcPr>
            <w:tcW w:w="100" w:type="dxa"/>
            <w:vAlign w:val="bottom"/>
            <w:tcBorders>
              <w:bottom w:val="single" w:sz="8" w:color="CCEEFF"/>
            </w:tcBorders>
          </w:tcPr>
          <w:p>
            <w:pPr>
              <w:spacing w:after="0"/>
              <w:rPr>
                <w:sz w:val="21"/>
                <w:szCs w:val="21"/>
                <w:color w:val="auto"/>
              </w:rPr>
            </w:pPr>
          </w:p>
        </w:tc>
      </w:tr>
      <w:tr>
        <w:trPr>
          <w:trHeight w:val="180"/>
        </w:trPr>
        <w:tc>
          <w:tcPr>
            <w:tcW w:w="41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Liabilities</w:t>
            </w: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767,831</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4,320</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772,151</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218,820</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1,046</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(40,501)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182,619</w:t>
            </w: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Amounts due to Group companies</w:t>
            </w:r>
            <w:r>
              <w:rPr>
                <w:rFonts w:ascii="Times New Roman" w:cs="Times New Roman" w:eastAsia="Times New Roman" w:hAnsi="Times New Roman"/>
                <w:sz w:val="27"/>
                <w:szCs w:val="27"/>
                <w:color w:val="auto"/>
                <w:vertAlign w:val="superscript"/>
              </w:rPr>
              <w:t>(1)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88,497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911,880</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168</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(1,000,545)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180,987</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186</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181,173</w:t>
            </w:r>
          </w:p>
        </w:tc>
      </w:tr>
      <w:tr>
        <w:trPr>
          <w:trHeight w:val="247"/>
        </w:trPr>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91,751</w:t>
            </w:r>
          </w:p>
        </w:tc>
        <w:tc>
          <w:tcPr>
            <w:tcW w:w="3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2,079,518</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5,720</w:t>
            </w:r>
          </w:p>
        </w:tc>
        <w:tc>
          <w:tcPr>
            <w:tcW w:w="3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(1,041,046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1,135,943</w:t>
            </w:r>
          </w:p>
        </w:tc>
        <w:tc>
          <w:tcPr>
            <w:tcW w:w="100" w:type="dxa"/>
            <w:vAlign w:val="bottom"/>
            <w:tcBorders>
              <w:bottom w:val="single" w:sz="8" w:color="CCEEFF"/>
            </w:tcBorders>
          </w:tcPr>
          <w:p>
            <w:pPr>
              <w:spacing w:after="0"/>
              <w:rPr>
                <w:sz w:val="21"/>
                <w:szCs w:val="21"/>
                <w:color w:val="auto"/>
              </w:rPr>
            </w:pPr>
          </w:p>
        </w:tc>
      </w:tr>
      <w:tr>
        <w:trPr>
          <w:trHeight w:val="138"/>
        </w:trPr>
        <w:tc>
          <w:tcPr>
            <w:tcW w:w="418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Total equity attributable to shareholders of the</w:t>
            </w:r>
          </w:p>
        </w:tc>
        <w:tc>
          <w:tcPr>
            <w:tcW w:w="1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56"/>
        </w:trPr>
        <w:tc>
          <w:tcPr>
            <w:tcW w:w="4180" w:type="dxa"/>
            <w:vAlign w:val="bottom"/>
            <w:gridSpan w:val="2"/>
            <w:shd w:val="clear" w:color="auto" w:fill="CCEEFF"/>
          </w:tcPr>
          <w:p>
            <w:pPr>
              <w:spacing w:after="0" w:line="257" w:lineRule="exact"/>
              <w:rPr>
                <w:sz w:val="20"/>
                <w:szCs w:val="20"/>
                <w:color w:val="auto"/>
              </w:rPr>
            </w:pP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28"/>
                <w:szCs w:val="28"/>
                <w:b w:val="1"/>
                <w:bCs w:val="1"/>
                <w:color w:val="auto"/>
                <w:vertAlign w:val="superscript"/>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1,444,441</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695,720</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506,482</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b w:val="1"/>
                <w:bCs w:val="1"/>
                <w:color w:val="auto"/>
              </w:rPr>
              <w:t>(1,202,202)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1,444,441</w:t>
            </w:r>
          </w:p>
        </w:tc>
        <w:tc>
          <w:tcPr>
            <w:tcW w:w="100" w:type="dxa"/>
            <w:vAlign w:val="bottom"/>
            <w:shd w:val="clear" w:color="auto" w:fill="CCEEFF"/>
          </w:tcPr>
          <w:p>
            <w:pPr>
              <w:spacing w:after="0"/>
              <w:rPr>
                <w:sz w:val="22"/>
                <w:szCs w:val="22"/>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6,551</w:t>
            </w:r>
          </w:p>
        </w:tc>
        <w:tc>
          <w:tcPr>
            <w:tcW w:w="2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(1,235)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5,316</w:t>
            </w: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1,444,441</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702,271</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506,482</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(1,203,437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1,449,757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1,536,192</w:t>
            </w:r>
          </w:p>
        </w:tc>
        <w:tc>
          <w:tcPr>
            <w:tcW w:w="3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2,781,789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512,202</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(2,244,483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2,585,700</w:t>
            </w:r>
          </w:p>
        </w:tc>
        <w:tc>
          <w:tcPr>
            <w:tcW w:w="1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209" w:right="339" w:bottom="1076"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09" w:right="339" w:bottom="1076"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0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7"/>
          </w:tcPr>
          <w:p>
            <w:pPr>
              <w:jc w:val="right"/>
              <w:ind w:right="901"/>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60"/>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6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The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6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6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13,343</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193,034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206,405</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18,505</w:t>
            </w:r>
          </w:p>
        </w:tc>
        <w:tc>
          <w:tcPr>
            <w:tcW w:w="26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18,505</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from third parties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36,836</w:t>
            </w:r>
          </w:p>
        </w:tc>
        <w:tc>
          <w:tcPr>
            <w:tcW w:w="2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36,836</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receivable from a related party</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4,365</w:t>
            </w:r>
          </w:p>
        </w:tc>
        <w:tc>
          <w:tcPr>
            <w:tcW w:w="26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4,365</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109,223</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48,794</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(714)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157,303</w:t>
            </w:r>
          </w:p>
        </w:tc>
        <w:tc>
          <w:tcPr>
            <w:tcW w:w="0" w:type="dxa"/>
            <w:vAlign w:val="bottom"/>
          </w:tcPr>
          <w:p>
            <w:pPr>
              <w:spacing w:after="0"/>
              <w:rPr>
                <w:sz w:val="1"/>
                <w:szCs w:val="1"/>
                <w:color w:val="auto"/>
              </w:rPr>
            </w:pP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Amounts due from Group companies</w:t>
            </w:r>
            <w:r>
              <w:rPr>
                <w:rFonts w:ascii="Times New Roman" w:cs="Times New Roman" w:eastAsia="Times New Roman" w:hAnsi="Times New Roman"/>
                <w:sz w:val="27"/>
                <w:szCs w:val="27"/>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640,828</w:t>
            </w:r>
          </w:p>
        </w:tc>
        <w:tc>
          <w:tcPr>
            <w:tcW w:w="3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797,159</w:t>
            </w:r>
          </w:p>
        </w:tc>
        <w:tc>
          <w:tcPr>
            <w:tcW w:w="26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(1,437,987)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Investments in subsidiaries</w:t>
            </w:r>
            <w:r>
              <w:rPr>
                <w:rFonts w:ascii="Times New Roman" w:cs="Times New Roman" w:eastAsia="Times New Roman" w:hAnsi="Times New Roman"/>
                <w:sz w:val="27"/>
                <w:szCs w:val="27"/>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660,932</w:t>
            </w: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(660,932)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Investments in VIEs</w:t>
            </w:r>
            <w:r>
              <w:rPr>
                <w:rFonts w:ascii="Times New Roman" w:cs="Times New Roman" w:eastAsia="Times New Roman" w:hAnsi="Times New Roman"/>
                <w:sz w:val="27"/>
                <w:szCs w:val="27"/>
                <w:color w:val="auto"/>
                <w:vertAlign w:val="superscript"/>
              </w:rPr>
              <w:t>(2)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578,818</w:t>
            </w:r>
          </w:p>
        </w:tc>
        <w:tc>
          <w:tcPr>
            <w:tcW w:w="26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(578,818)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122,529</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533,737</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42,604</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698,870</w:t>
            </w:r>
          </w:p>
        </w:tc>
        <w:tc>
          <w:tcPr>
            <w:tcW w:w="0" w:type="dxa"/>
            <w:vAlign w:val="bottom"/>
          </w:tcPr>
          <w:p>
            <w:pPr>
              <w:spacing w:after="0"/>
              <w:rPr>
                <w:sz w:val="1"/>
                <w:szCs w:val="1"/>
                <w:color w:val="auto"/>
              </w:rPr>
            </w:pP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color w:val="auto"/>
              </w:rPr>
              <w:t>Assets held for sale</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2,266,196</w:t>
            </w:r>
          </w:p>
        </w:tc>
        <w:tc>
          <w:tcPr>
            <w:tcW w:w="3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(634,092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1,632,104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1,437,632</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2,271,677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2,357,622</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(3,312,543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2,754,388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8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317,454</w:t>
            </w:r>
          </w:p>
        </w:tc>
        <w:tc>
          <w:tcPr>
            <w:tcW w:w="2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317,454</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3,396</w:t>
            </w:r>
          </w:p>
        </w:tc>
        <w:tc>
          <w:tcPr>
            <w:tcW w:w="34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123,504</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43,914</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170,814</w:t>
            </w:r>
          </w:p>
        </w:tc>
        <w:tc>
          <w:tcPr>
            <w:tcW w:w="0" w:type="dxa"/>
            <w:vAlign w:val="bottom"/>
          </w:tcPr>
          <w:p>
            <w:pPr>
              <w:spacing w:after="0"/>
              <w:rPr>
                <w:sz w:val="1"/>
                <w:szCs w:val="1"/>
                <w:color w:val="auto"/>
              </w:rPr>
            </w:pP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Amounts due to Group companies</w:t>
            </w:r>
            <w:r>
              <w:rPr>
                <w:rFonts w:ascii="Times New Roman" w:cs="Times New Roman" w:eastAsia="Times New Roman" w:hAnsi="Times New Roman"/>
                <w:sz w:val="27"/>
                <w:szCs w:val="27"/>
                <w:color w:val="auto"/>
                <w:vertAlign w:val="superscript"/>
              </w:rPr>
              <w:t>(1)</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85,703</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984,000</w:t>
            </w:r>
          </w:p>
        </w:tc>
        <w:tc>
          <w:tcPr>
            <w:tcW w:w="2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(1,069,703)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181,784</w:t>
            </w:r>
          </w:p>
        </w:tc>
        <w:tc>
          <w:tcPr>
            <w:tcW w:w="17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14,971</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196,755</w:t>
            </w:r>
          </w:p>
        </w:tc>
        <w:tc>
          <w:tcPr>
            <w:tcW w:w="0" w:type="dxa"/>
            <w:vAlign w:val="bottom"/>
          </w:tcPr>
          <w:p>
            <w:pPr>
              <w:spacing w:after="0"/>
              <w:rPr>
                <w:sz w:val="1"/>
                <w:szCs w:val="1"/>
                <w:color w:val="auto"/>
              </w:rPr>
            </w:pP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Liabilities held for sale</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1,728,171</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(1,002,443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725,728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89,099</w:t>
            </w: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1,606,742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1,787,056</w:t>
            </w: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(2,072,146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1,410,751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418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Total equity attributable to shareholders of the</w:t>
            </w:r>
          </w:p>
        </w:tc>
        <w:tc>
          <w:tcPr>
            <w:tcW w:w="1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1,348,533</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660,932</w:t>
            </w:r>
          </w:p>
        </w:tc>
        <w:tc>
          <w:tcPr>
            <w:tcW w:w="1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578,818</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b w:val="1"/>
                <w:bCs w:val="1"/>
                <w:color w:val="auto"/>
              </w:rPr>
              <w:t>(1,240,397)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1,347,886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4,003</w:t>
            </w: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(8,252)</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(4,249)</w:t>
            </w:r>
          </w:p>
        </w:tc>
        <w:tc>
          <w:tcPr>
            <w:tcW w:w="0" w:type="dxa"/>
            <w:vAlign w:val="bottom"/>
          </w:tcPr>
          <w:p>
            <w:pPr>
              <w:spacing w:after="0"/>
              <w:rPr>
                <w:sz w:val="1"/>
                <w:szCs w:val="1"/>
                <w:color w:val="auto"/>
              </w:rPr>
            </w:pP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1,348,533</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664,935</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570,566</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(1,240,397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1,343,637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1,437,632</w:t>
            </w:r>
          </w:p>
        </w:tc>
        <w:tc>
          <w:tcPr>
            <w:tcW w:w="34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2,271,677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2,357,622</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(3,312,543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2,754,388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represents the elimination of inter-company balances among the Company, the VIEs and our subsidiaries.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represents the elimination of the investment in VIEs and subsidiaries by the Company.</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adjustments were made retrospectively in the selected condensed consolidated financial data for the years ended December 31, 2023 and 2024 to reallocate the transactions pertaining to discontinued operations and reflect the corresponding effects more properly in the consolidating schedule.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6"/>
              </w:rPr>
              <w:t>Table of Contents</w:t>
            </w: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1"/>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Selected Condensed Consolidated Cash Flow Data</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7"/>
          </w:tcPr>
          <w:p>
            <w:pPr>
              <w:jc w:val="center"/>
              <w:ind w:right="281"/>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 2025</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1"/>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40" w:type="dxa"/>
            <w:vAlign w:val="bottom"/>
          </w:tcPr>
          <w:p>
            <w:pPr>
              <w:spacing w:after="0"/>
              <w:rPr>
                <w:sz w:val="17"/>
                <w:szCs w:val="17"/>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6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8"/>
              </w:rPr>
              <w:t>The</w:t>
            </w: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40" w:type="dxa"/>
            <w:vAlign w:val="bottom"/>
          </w:tcPr>
          <w:p>
            <w:pPr>
              <w:spacing w:after="0"/>
              <w:rPr>
                <w:sz w:val="17"/>
                <w:szCs w:val="17"/>
                <w:color w:val="auto"/>
              </w:rPr>
            </w:pP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8"/>
              </w:rPr>
              <w:t>Company</w:t>
            </w: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9"/>
                <w:szCs w:val="19"/>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195"/>
        </w:trPr>
        <w:tc>
          <w:tcPr>
            <w:tcW w:w="1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7"/>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Sales of goods and services to Group companies</w:t>
            </w:r>
            <w:r>
              <w:rPr>
                <w:rFonts w:ascii="Times New Roman" w:cs="Times New Roman" w:eastAsia="Times New Roman" w:hAnsi="Times New Roman"/>
                <w:sz w:val="27"/>
                <w:szCs w:val="27"/>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1,528</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(1,539)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Purchases of goods and services from Group companies</w:t>
            </w:r>
            <w:r>
              <w:rPr>
                <w:rFonts w:ascii="Times New Roman" w:cs="Times New Roman" w:eastAsia="Times New Roman" w:hAnsi="Times New Roman"/>
                <w:sz w:val="27"/>
                <w:szCs w:val="27"/>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(11)</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1,539</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111,820</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29,002</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1,503</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12,313</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154,638</w:t>
            </w: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 continuing operating activities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111,820</w:t>
            </w:r>
          </w:p>
        </w:tc>
        <w:tc>
          <w:tcPr>
            <w:tcW w:w="3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27,485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3,020</w:t>
            </w:r>
          </w:p>
        </w:tc>
        <w:tc>
          <w:tcPr>
            <w:tcW w:w="3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12,313</w:t>
            </w:r>
          </w:p>
        </w:tc>
        <w:tc>
          <w:tcPr>
            <w:tcW w:w="3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154,638</w:t>
            </w:r>
          </w:p>
        </w:tc>
        <w:tc>
          <w:tcPr>
            <w:tcW w:w="100" w:type="dxa"/>
            <w:vAlign w:val="bottom"/>
            <w:tcBorders>
              <w:bottom w:val="single" w:sz="8" w:color="CCEEFF"/>
            </w:tcBorders>
          </w:tcPr>
          <w:p>
            <w:pPr>
              <w:spacing w:after="0"/>
              <w:rPr>
                <w:sz w:val="16"/>
                <w:szCs w:val="16"/>
                <w:color w:val="auto"/>
              </w:rPr>
            </w:pP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Receipt of advances repayment from Group companies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762,936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980,000</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(1,742,936)</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(122,020)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(110,844)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(232,864)</w:t>
            </w:r>
          </w:p>
        </w:tc>
      </w:tr>
      <w:tr>
        <w:trPr>
          <w:trHeight w:val="194"/>
        </w:trPr>
        <w:tc>
          <w:tcPr>
            <w:tcW w:w="418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by/(used in) investing activities</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(122,020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652,092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980,000</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(1,742,936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(232,864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41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Repayment for advances from Group companies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(106,936)</w:t>
            </w:r>
          </w:p>
        </w:tc>
        <w:tc>
          <w:tcPr>
            <w:tcW w:w="3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(980,000)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(656,000)</w:t>
            </w:r>
          </w:p>
        </w:tc>
        <w:tc>
          <w:tcPr>
            <w:tcW w:w="34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1,742,936</w:t>
            </w:r>
          </w:p>
        </w:tc>
        <w:tc>
          <w:tcPr>
            <w:tcW w:w="3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(41,615)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(63,905)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(105,520)</w:t>
            </w: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(148,551</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(1,043,905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(656,000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1,742,936</w:t>
            </w:r>
          </w:p>
        </w:tc>
        <w:tc>
          <w:tcPr>
            <w:tcW w:w="3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(105,520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Effect of exchanges rates on cash and cash equivalents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(2,914)</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(12,313)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(12,704)</w:t>
            </w:r>
          </w:p>
        </w:tc>
        <w:tc>
          <w:tcPr>
            <w:tcW w:w="100" w:type="dxa"/>
            <w:vAlign w:val="bottom"/>
            <w:shd w:val="clear" w:color="auto" w:fill="CCEEFF"/>
          </w:tcPr>
          <w:p>
            <w:pPr>
              <w:spacing w:after="0"/>
              <w:rPr>
                <w:sz w:val="16"/>
                <w:szCs w:val="16"/>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(161,665)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(361,805)</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color w:val="auto"/>
              </w:rPr>
              <w:t>327,020</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(196,450)</w:t>
            </w:r>
          </w:p>
        </w:tc>
      </w:tr>
      <w:tr>
        <w:trPr>
          <w:trHeight w:val="185"/>
        </w:trPr>
        <w:tc>
          <w:tcPr>
            <w:tcW w:w="41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Cash and cash equivalents and restricted cash at beginning</w:t>
            </w: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164,583</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995,718</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7,179</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1,167,480</w:t>
            </w:r>
          </w:p>
        </w:tc>
        <w:tc>
          <w:tcPr>
            <w:tcW w:w="100" w:type="dxa"/>
            <w:vAlign w:val="bottom"/>
            <w:shd w:val="clear" w:color="auto" w:fill="CCEEFF"/>
          </w:tcPr>
          <w:p>
            <w:pPr>
              <w:spacing w:after="0"/>
              <w:rPr>
                <w:sz w:val="20"/>
                <w:szCs w:val="20"/>
                <w:color w:val="auto"/>
              </w:rPr>
            </w:pPr>
          </w:p>
        </w:tc>
      </w:tr>
      <w:tr>
        <w:trPr>
          <w:trHeight w:val="161"/>
        </w:trPr>
        <w:tc>
          <w:tcPr>
            <w:tcW w:w="418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end</w:t>
            </w: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5"/>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2,918</w:t>
            </w:r>
          </w:p>
        </w:tc>
        <w:tc>
          <w:tcPr>
            <w:tcW w:w="3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633,913</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334,199</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971,030</w:t>
            </w:r>
          </w:p>
        </w:tc>
      </w:tr>
      <w:tr>
        <w:trPr>
          <w:trHeight w:val="20"/>
        </w:trPr>
        <w:tc>
          <w:tcPr>
            <w:tcW w:w="1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9"/>
        </w:trPr>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7"/>
          </w:tcPr>
          <w:p>
            <w:pPr>
              <w:jc w:val="center"/>
              <w:ind w:right="281"/>
              <w:spacing w:after="0"/>
              <w:rPr>
                <w:sz w:val="20"/>
                <w:szCs w:val="20"/>
                <w:color w:val="auto"/>
              </w:rPr>
            </w:pPr>
            <w:r>
              <w:rPr>
                <w:rFonts w:ascii="Times New Roman" w:cs="Times New Roman" w:eastAsia="Times New Roman" w:hAnsi="Times New Roman"/>
                <w:sz w:val="17"/>
                <w:szCs w:val="17"/>
                <w:b w:val="1"/>
                <w:bCs w:val="1"/>
                <w:color w:val="auto"/>
                <w:w w:val="97"/>
              </w:rPr>
              <w:t>For the Year Ended December 31, 2024</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12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1"/>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240" w:type="dxa"/>
            <w:vAlign w:val="bottom"/>
          </w:tcPr>
          <w:p>
            <w:pPr>
              <w:spacing w:after="0"/>
              <w:rPr>
                <w:sz w:val="17"/>
                <w:szCs w:val="17"/>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6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8"/>
              </w:rPr>
              <w:t>The</w:t>
            </w:r>
          </w:p>
        </w:tc>
        <w:tc>
          <w:tcPr>
            <w:tcW w:w="12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240" w:type="dxa"/>
            <w:vAlign w:val="bottom"/>
          </w:tcPr>
          <w:p>
            <w:pPr>
              <w:spacing w:after="0"/>
              <w:rPr>
                <w:sz w:val="17"/>
                <w:szCs w:val="17"/>
                <w:color w:val="auto"/>
              </w:rPr>
            </w:pP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8"/>
              </w:rPr>
              <w:t>Company</w:t>
            </w:r>
          </w:p>
        </w:tc>
        <w:tc>
          <w:tcPr>
            <w:tcW w:w="124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240" w:type="dxa"/>
            <w:vAlign w:val="bottom"/>
          </w:tcPr>
          <w:p>
            <w:pPr>
              <w:spacing w:after="0"/>
              <w:rPr>
                <w:sz w:val="19"/>
                <w:szCs w:val="19"/>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195"/>
        </w:trPr>
        <w:tc>
          <w:tcPr>
            <w:tcW w:w="1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7"/>
              </w:rPr>
              <w:t>(RMB in thousands)</w:t>
            </w: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41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Sales of goods and services to Group companies</w:t>
            </w:r>
            <w:r>
              <w:rPr>
                <w:rFonts w:ascii="Times New Roman" w:cs="Times New Roman" w:eastAsia="Times New Roman" w:hAnsi="Times New Roman"/>
                <w:sz w:val="27"/>
                <w:szCs w:val="27"/>
                <w:color w:val="auto"/>
                <w:vertAlign w:val="superscript"/>
              </w:rPr>
              <w:t>(1)</w:t>
            </w: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588,081</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102,924</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(691,005)</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41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Purchases of goods and services from Group companies</w:t>
            </w:r>
            <w:r>
              <w:rPr>
                <w:rFonts w:ascii="Times New Roman" w:cs="Times New Roman" w:eastAsia="Times New Roman" w:hAnsi="Times New Roman"/>
                <w:sz w:val="27"/>
                <w:szCs w:val="27"/>
                <w:color w:val="auto"/>
                <w:vertAlign w:val="superscript"/>
              </w:rPr>
              <w:t>(1)</w:t>
            </w: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(102,924)</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(588,081)</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691,005</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274,797</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185,005</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121,193</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580,995</w:t>
            </w:r>
          </w:p>
        </w:tc>
      </w:tr>
      <w:tr>
        <w:trPr>
          <w:trHeight w:val="165"/>
        </w:trPr>
        <w:tc>
          <w:tcPr>
            <w:tcW w:w="4180" w:type="dxa"/>
            <w:vAlign w:val="bottom"/>
            <w:gridSpan w:val="2"/>
          </w:tcPr>
          <w:p>
            <w:pPr>
              <w:spacing w:after="0" w:line="165" w:lineRule="exact"/>
              <w:rPr>
                <w:sz w:val="20"/>
                <w:szCs w:val="20"/>
                <w:color w:val="auto"/>
              </w:rPr>
            </w:pPr>
            <w:r>
              <w:rPr>
                <w:rFonts w:ascii="Times New Roman" w:cs="Times New Roman" w:eastAsia="Times New Roman" w:hAnsi="Times New Roman"/>
                <w:sz w:val="17"/>
                <w:szCs w:val="17"/>
                <w:color w:val="auto"/>
              </w:rPr>
              <w:t>Net cash provided by/(used in) continuing operating</w:t>
            </w: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activities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274,797</w:t>
            </w:r>
          </w:p>
        </w:tc>
        <w:tc>
          <w:tcPr>
            <w:tcW w:w="3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670,162</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(363,964)</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580,995</w:t>
            </w:r>
          </w:p>
        </w:tc>
      </w:tr>
      <w:tr>
        <w:trPr>
          <w:trHeight w:val="195"/>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discontinued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135,033</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135,033</w:t>
            </w:r>
          </w:p>
        </w:tc>
        <w:tc>
          <w:tcPr>
            <w:tcW w:w="100" w:type="dxa"/>
            <w:vAlign w:val="bottom"/>
            <w:tcBorders>
              <w:top w:val="single" w:sz="8" w:color="CCEEFF"/>
            </w:tcBorders>
            <w:shd w:val="clear" w:color="auto" w:fill="CCEEFF"/>
          </w:tcPr>
          <w:p>
            <w:pPr>
              <w:spacing w:after="0"/>
              <w:rPr>
                <w:sz w:val="16"/>
                <w:szCs w:val="16"/>
                <w:color w:val="auto"/>
              </w:rPr>
            </w:pP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in)/provided by operating activities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274,797</w:t>
            </w:r>
          </w:p>
        </w:tc>
        <w:tc>
          <w:tcPr>
            <w:tcW w:w="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670,162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(228,931</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716,028</w:t>
            </w:r>
          </w:p>
        </w:tc>
        <w:tc>
          <w:tcPr>
            <w:tcW w:w="100" w:type="dxa"/>
            <w:vAlign w:val="bottom"/>
            <w:tcBorders>
              <w:bottom w:val="single" w:sz="8" w:color="CCEEFF"/>
            </w:tcBorders>
          </w:tcPr>
          <w:p>
            <w:pPr>
              <w:spacing w:after="0"/>
              <w:rPr>
                <w:sz w:val="16"/>
                <w:szCs w:val="16"/>
                <w:color w:val="auto"/>
              </w:rPr>
            </w:pP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Loans to Group companies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(56,973)</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56,973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Repayment of loans from Group companies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288,794</w:t>
            </w:r>
          </w:p>
        </w:tc>
        <w:tc>
          <w:tcPr>
            <w:tcW w:w="340" w:type="dxa"/>
            <w:vAlign w:val="bottom"/>
          </w:tcPr>
          <w:p>
            <w:pPr>
              <w:spacing w:after="0"/>
              <w:rPr>
                <w:sz w:val="17"/>
                <w:szCs w:val="17"/>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164,043</w:t>
            </w:r>
          </w:p>
        </w:tc>
        <w:tc>
          <w:tcPr>
            <w:tcW w:w="240" w:type="dxa"/>
            <w:vAlign w:val="bottom"/>
          </w:tcPr>
          <w:p>
            <w:pPr>
              <w:spacing w:after="0"/>
              <w:rPr>
                <w:sz w:val="17"/>
                <w:szCs w:val="17"/>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(452,837)</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Receipt of advances repayment from Group companies</w:t>
            </w: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464,180</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556,535</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(1,020,715)</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(290,757)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(11,055)</w:t>
            </w:r>
          </w:p>
        </w:tc>
        <w:tc>
          <w:tcPr>
            <w:tcW w:w="2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(301,812)</w:t>
            </w:r>
          </w:p>
        </w:tc>
      </w:tr>
      <w:tr>
        <w:trPr>
          <w:trHeight w:val="165"/>
        </w:trPr>
        <w:tc>
          <w:tcPr>
            <w:tcW w:w="4180" w:type="dxa"/>
            <w:vAlign w:val="bottom"/>
            <w:tcBorders>
              <w:top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Net cash provided by/(used in) continuing investing</w:t>
            </w: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activities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(58,936)</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617,167</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556,535</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(1,416,579)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(301,812)</w:t>
            </w: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color w:val="auto"/>
              </w:rPr>
              <w:t>Net cash provided by discontinued investing activities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136,918</w:t>
            </w:r>
          </w:p>
        </w:tc>
        <w:tc>
          <w:tcPr>
            <w:tcW w:w="3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136,918</w:t>
            </w:r>
          </w:p>
        </w:tc>
        <w:tc>
          <w:tcPr>
            <w:tcW w:w="100" w:type="dxa"/>
            <w:vAlign w:val="bottom"/>
            <w:tcBorders>
              <w:bottom w:val="single" w:sz="8" w:color="CCEEFF"/>
            </w:tcBorders>
          </w:tcPr>
          <w:p>
            <w:pPr>
              <w:spacing w:after="0"/>
              <w:rPr>
                <w:sz w:val="16"/>
                <w:szCs w:val="16"/>
                <w:color w:val="auto"/>
              </w:rPr>
            </w:pP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by/(used in) investing activities</w:t>
            </w: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(58,936</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617,167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693,453</w:t>
            </w:r>
          </w:p>
        </w:tc>
        <w:tc>
          <w:tcPr>
            <w:tcW w:w="34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(1,416,579</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(164,894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41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Repayment for advances from Group companies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(78,617)</w:t>
            </w:r>
          </w:p>
        </w:tc>
        <w:tc>
          <w:tcPr>
            <w:tcW w:w="3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(556,536)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(385,563)</w:t>
            </w:r>
          </w:p>
        </w:tc>
        <w:tc>
          <w:tcPr>
            <w:tcW w:w="34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1,020,716</w:t>
            </w:r>
          </w:p>
        </w:tc>
        <w:tc>
          <w:tcPr>
            <w:tcW w:w="3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202"/>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for loans from Group companies</w:t>
            </w: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(452,836)</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452,836</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Borrowings under loans from Group companies</w:t>
            </w: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56,973</w:t>
            </w:r>
          </w:p>
        </w:tc>
        <w:tc>
          <w:tcPr>
            <w:tcW w:w="240" w:type="dxa"/>
            <w:vAlign w:val="bottom"/>
          </w:tcPr>
          <w:p>
            <w:pPr>
              <w:spacing w:after="0"/>
              <w:rPr>
                <w:sz w:val="17"/>
                <w:szCs w:val="17"/>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(56,973)</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(4,173)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(4,658)</w:t>
            </w: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color w:val="auto"/>
              </w:rPr>
              <w:t>Net cash used in continuing financing activities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(82,790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(500,048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(838,399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1,416,579</w:t>
            </w:r>
          </w:p>
        </w:tc>
        <w:tc>
          <w:tcPr>
            <w:tcW w:w="3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(4,658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cash used in discontinued financing activities</w:t>
            </w: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(30,000</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418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(82,790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(500,048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(868,399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1,416,579</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(34,658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Effect of exchanges rates on cash and cash equivalents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18,169</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14,649</w:t>
            </w:r>
          </w:p>
        </w:tc>
        <w:tc>
          <w:tcPr>
            <w:tcW w:w="100" w:type="dxa"/>
            <w:vAlign w:val="bottom"/>
            <w:shd w:val="clear" w:color="auto" w:fill="CCEEFF"/>
          </w:tcPr>
          <w:p>
            <w:pPr>
              <w:spacing w:after="0"/>
              <w:rPr>
                <w:sz w:val="16"/>
                <w:szCs w:val="16"/>
                <w:color w:val="auto"/>
              </w:rPr>
            </w:pPr>
          </w:p>
        </w:tc>
      </w:tr>
      <w:tr>
        <w:trPr>
          <w:trHeight w:val="202"/>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151,240</w:t>
            </w:r>
          </w:p>
        </w:tc>
        <w:tc>
          <w:tcPr>
            <w:tcW w:w="340" w:type="dxa"/>
            <w:vAlign w:val="bottom"/>
          </w:tcPr>
          <w:p>
            <w:pPr>
              <w:spacing w:after="0"/>
              <w:rPr>
                <w:sz w:val="17"/>
                <w:szCs w:val="17"/>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783,762</w:t>
            </w:r>
          </w:p>
        </w:tc>
        <w:tc>
          <w:tcPr>
            <w:tcW w:w="1720" w:type="dxa"/>
            <w:vAlign w:val="bottom"/>
            <w:gridSpan w:val="3"/>
          </w:tcPr>
          <w:p>
            <w:pPr>
              <w:jc w:val="right"/>
              <w:ind w:right="201"/>
              <w:spacing w:after="0"/>
              <w:rPr>
                <w:sz w:val="20"/>
                <w:szCs w:val="20"/>
                <w:color w:val="auto"/>
              </w:rPr>
            </w:pPr>
            <w:r>
              <w:rPr>
                <w:rFonts w:ascii="Times New Roman" w:cs="Times New Roman" w:eastAsia="Times New Roman" w:hAnsi="Times New Roman"/>
                <w:sz w:val="17"/>
                <w:szCs w:val="17"/>
                <w:color w:val="auto"/>
              </w:rPr>
              <w:t>(403,877)</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531,125</w:t>
            </w:r>
          </w:p>
        </w:tc>
      </w:tr>
      <w:tr>
        <w:trPr>
          <w:trHeight w:val="185"/>
        </w:trPr>
        <w:tc>
          <w:tcPr>
            <w:tcW w:w="41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Cash and cash equivalents and restricted cash at beginning</w:t>
            </w: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year</w:t>
            </w: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13,343</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211,956</w:t>
            </w:r>
          </w:p>
        </w:tc>
        <w:tc>
          <w:tcPr>
            <w:tcW w:w="17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411,056</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636,355</w:t>
            </w:r>
          </w:p>
        </w:tc>
      </w:tr>
      <w:tr>
        <w:trPr>
          <w:trHeight w:val="161"/>
        </w:trPr>
        <w:tc>
          <w:tcPr>
            <w:tcW w:w="418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end</w:t>
            </w: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5"/>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164,583</w:t>
            </w:r>
          </w:p>
        </w:tc>
        <w:tc>
          <w:tcPr>
            <w:tcW w:w="3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995,718</w:t>
            </w: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7,179</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1,167,480</w:t>
            </w:r>
          </w:p>
        </w:tc>
        <w:tc>
          <w:tcPr>
            <w:tcW w:w="100" w:type="dxa"/>
            <w:vAlign w:val="bottom"/>
          </w:tcPr>
          <w:p>
            <w:pPr>
              <w:spacing w:after="0"/>
              <w:rPr>
                <w:sz w:val="20"/>
                <w:szCs w:val="20"/>
                <w:color w:val="auto"/>
              </w:rPr>
            </w:pPr>
          </w:p>
        </w:tc>
      </w:tr>
      <w:tr>
        <w:trPr>
          <w:trHeight w:val="20"/>
        </w:trPr>
        <w:tc>
          <w:tcPr>
            <w:tcW w:w="1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209"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418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right"/>
              <w:ind w:right="901"/>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339"/>
              <w:spacing w:after="0" w:line="174"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339"/>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339"/>
              <w:spacing w:after="0"/>
              <w:rPr>
                <w:sz w:val="20"/>
                <w:szCs w:val="20"/>
                <w:color w:val="auto"/>
              </w:rPr>
            </w:pPr>
            <w:r>
              <w:rPr>
                <w:rFonts w:ascii="Times New Roman" w:cs="Times New Roman" w:eastAsia="Times New Roman" w:hAnsi="Times New Roman"/>
                <w:sz w:val="17"/>
                <w:szCs w:val="17"/>
                <w:b w:val="1"/>
                <w:bCs w:val="1"/>
                <w:color w:val="auto"/>
                <w:w w:val="98"/>
              </w:rPr>
              <w:t>and Primary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339"/>
              <w:spacing w:after="0"/>
              <w:rPr>
                <w:sz w:val="20"/>
                <w:szCs w:val="20"/>
                <w:color w:val="auto"/>
              </w:rPr>
            </w:pPr>
            <w:r>
              <w:rPr>
                <w:rFonts w:ascii="Times New Roman" w:cs="Times New Roman" w:eastAsia="Times New Roman" w:hAnsi="Times New Roman"/>
                <w:sz w:val="17"/>
                <w:szCs w:val="17"/>
                <w:b w:val="1"/>
                <w:bCs w:val="1"/>
                <w:color w:val="auto"/>
                <w:w w:val="98"/>
              </w:rPr>
              <w:t>Beneficiaries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359"/>
              <w:spacing w:after="0"/>
              <w:rPr>
                <w:sz w:val="20"/>
                <w:szCs w:val="20"/>
                <w:color w:val="auto"/>
              </w:rPr>
            </w:pPr>
            <w:r>
              <w:rPr>
                <w:rFonts w:ascii="Times New Roman" w:cs="Times New Roman" w:eastAsia="Times New Roman" w:hAnsi="Times New Roman"/>
                <w:sz w:val="17"/>
                <w:szCs w:val="17"/>
                <w:b w:val="1"/>
                <w:bCs w:val="1"/>
                <w:color w:val="auto"/>
                <w:w w:val="98"/>
              </w:rPr>
              <w:t>of VIEs and</w:t>
            </w:r>
          </w:p>
        </w:tc>
        <w:tc>
          <w:tcPr>
            <w:tcW w:w="1300" w:type="dxa"/>
            <w:vAlign w:val="bottom"/>
            <w:gridSpan w:val="2"/>
          </w:tcPr>
          <w:p>
            <w:pPr>
              <w:jc w:val="center"/>
              <w:ind w:right="61"/>
              <w:spacing w:after="0"/>
              <w:rPr>
                <w:sz w:val="20"/>
                <w:szCs w:val="20"/>
                <w:color w:val="auto"/>
              </w:rPr>
            </w:pPr>
            <w:r>
              <w:rPr>
                <w:rFonts w:ascii="Times New Roman" w:cs="Times New Roman" w:eastAsia="Times New Roman" w:hAnsi="Times New Roman"/>
                <w:sz w:val="17"/>
                <w:szCs w:val="17"/>
                <w:b w:val="1"/>
                <w:bCs w:val="1"/>
                <w:color w:val="auto"/>
                <w:w w:val="99"/>
              </w:rPr>
              <w:t>VIEs and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The</w:t>
            </w:r>
          </w:p>
        </w:tc>
        <w:tc>
          <w:tcPr>
            <w:tcW w:w="1380" w:type="dxa"/>
            <w:vAlign w:val="bottom"/>
            <w:gridSpan w:val="3"/>
          </w:tcPr>
          <w:p>
            <w:pPr>
              <w:jc w:val="center"/>
              <w:ind w:right="359"/>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300" w:type="dxa"/>
            <w:vAlign w:val="bottom"/>
            <w:gridSpan w:val="2"/>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7"/>
              </w:rPr>
              <w:t>their</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6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Company</w:t>
            </w:r>
          </w:p>
        </w:tc>
        <w:tc>
          <w:tcPr>
            <w:tcW w:w="1380" w:type="dxa"/>
            <w:vAlign w:val="bottom"/>
            <w:gridSpan w:val="3"/>
          </w:tcPr>
          <w:p>
            <w:pPr>
              <w:jc w:val="center"/>
              <w:ind w:right="339"/>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300" w:type="dxa"/>
            <w:vAlign w:val="bottom"/>
            <w:gridSpan w:val="2"/>
          </w:tcPr>
          <w:p>
            <w:pPr>
              <w:jc w:val="center"/>
              <w:ind w:right="61"/>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c>
          <w:tcPr>
            <w:tcW w:w="180" w:type="dxa"/>
            <w:vAlign w:val="bottom"/>
          </w:tcPr>
          <w:p>
            <w:pPr>
              <w:spacing w:after="0"/>
              <w:rPr>
                <w:sz w:val="19"/>
                <w:szCs w:val="19"/>
                <w:color w:val="auto"/>
              </w:rPr>
            </w:pPr>
          </w:p>
        </w:tc>
        <w:tc>
          <w:tcPr>
            <w:tcW w:w="144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19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(RMB in thousands)</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4160" w:type="dxa"/>
            <w:vAlign w:val="bottom"/>
            <w:gridSpan w:val="5"/>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Sales of goods and services to Group companies</w:t>
            </w:r>
            <w:r>
              <w:rPr>
                <w:rFonts w:ascii="Times New Roman" w:cs="Times New Roman" w:eastAsia="Times New Roman" w:hAnsi="Times New Roman"/>
                <w:sz w:val="27"/>
                <w:szCs w:val="27"/>
                <w:color w:val="auto"/>
                <w:vertAlign w:val="superscript"/>
              </w:rPr>
              <w:t>(1)</w:t>
            </w:r>
          </w:p>
        </w:tc>
        <w:tc>
          <w:tcPr>
            <w:tcW w:w="15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rPr>
              <w:t>692,027</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(692,027)</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0" w:type="dxa"/>
            <w:vAlign w:val="bottom"/>
          </w:tcPr>
          <w:p>
            <w:pPr>
              <w:spacing w:after="0"/>
              <w:rPr>
                <w:sz w:val="20"/>
                <w:szCs w:val="20"/>
                <w:color w:val="auto"/>
              </w:rPr>
            </w:pPr>
          </w:p>
        </w:tc>
        <w:tc>
          <w:tcPr>
            <w:tcW w:w="4160" w:type="dxa"/>
            <w:vAlign w:val="bottom"/>
            <w:gridSpan w:val="5"/>
          </w:tcPr>
          <w:p>
            <w:pPr>
              <w:spacing w:after="0" w:line="240" w:lineRule="exact"/>
              <w:rPr>
                <w:sz w:val="20"/>
                <w:szCs w:val="20"/>
                <w:color w:val="auto"/>
              </w:rPr>
            </w:pPr>
            <w:r>
              <w:rPr>
                <w:rFonts w:ascii="Times New Roman" w:cs="Times New Roman" w:eastAsia="Times New Roman" w:hAnsi="Times New Roman"/>
                <w:sz w:val="16"/>
                <w:szCs w:val="16"/>
                <w:color w:val="auto"/>
              </w:rPr>
              <w:t>Purchases of goods and services from Group companies</w:t>
            </w:r>
            <w:r>
              <w:rPr>
                <w:rFonts w:ascii="Times New Roman" w:cs="Times New Roman" w:eastAsia="Times New Roman" w:hAnsi="Times New Roman"/>
                <w:sz w:val="27"/>
                <w:szCs w:val="27"/>
                <w:color w:val="auto"/>
                <w:vertAlign w:val="superscript"/>
              </w:rPr>
              <w:t>(1)</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ind w:right="199"/>
              <w:spacing w:after="0"/>
              <w:rPr>
                <w:sz w:val="20"/>
                <w:szCs w:val="20"/>
                <w:color w:val="auto"/>
              </w:rPr>
            </w:pPr>
            <w:r>
              <w:rPr>
                <w:rFonts w:ascii="Times New Roman" w:cs="Times New Roman" w:eastAsia="Times New Roman" w:hAnsi="Times New Roman"/>
                <w:sz w:val="17"/>
                <w:szCs w:val="17"/>
                <w:color w:val="auto"/>
              </w:rPr>
              <w:t>(94,673)</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3"/>
          </w:tcPr>
          <w:p>
            <w:pPr>
              <w:jc w:val="right"/>
              <w:ind w:right="241"/>
              <w:spacing w:after="0"/>
              <w:rPr>
                <w:sz w:val="20"/>
                <w:szCs w:val="20"/>
                <w:color w:val="auto"/>
              </w:rPr>
            </w:pPr>
            <w:r>
              <w:rPr>
                <w:rFonts w:ascii="Times New Roman" w:cs="Times New Roman" w:eastAsia="Times New Roman" w:hAnsi="Times New Roman"/>
                <w:sz w:val="17"/>
                <w:szCs w:val="17"/>
                <w:color w:val="auto"/>
              </w:rPr>
              <w:t>94,673</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20" w:type="dxa"/>
            <w:vAlign w:val="bottom"/>
          </w:tcPr>
          <w:p>
            <w:pPr>
              <w:spacing w:after="0"/>
              <w:rPr>
                <w:sz w:val="18"/>
                <w:szCs w:val="18"/>
                <w:color w:val="auto"/>
              </w:rPr>
            </w:pPr>
          </w:p>
        </w:tc>
        <w:tc>
          <w:tcPr>
            <w:tcW w:w="4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(93,378)</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(642,085)</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776,782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41,319</w:t>
            </w:r>
          </w:p>
        </w:tc>
      </w:tr>
      <w:tr>
        <w:trPr>
          <w:trHeight w:val="165"/>
        </w:trPr>
        <w:tc>
          <w:tcPr>
            <w:tcW w:w="20" w:type="dxa"/>
            <w:vAlign w:val="bottom"/>
          </w:tcPr>
          <w:p>
            <w:pPr>
              <w:spacing w:after="0"/>
              <w:rPr>
                <w:sz w:val="14"/>
                <w:szCs w:val="14"/>
                <w:color w:val="auto"/>
              </w:rPr>
            </w:pPr>
          </w:p>
        </w:tc>
        <w:tc>
          <w:tcPr>
            <w:tcW w:w="4160" w:type="dxa"/>
            <w:vAlign w:val="bottom"/>
            <w:gridSpan w:val="5"/>
          </w:tcPr>
          <w:p>
            <w:pPr>
              <w:spacing w:after="0" w:line="165" w:lineRule="exact"/>
              <w:rPr>
                <w:sz w:val="20"/>
                <w:szCs w:val="20"/>
                <w:color w:val="auto"/>
              </w:rPr>
            </w:pPr>
            <w:r>
              <w:rPr>
                <w:rFonts w:ascii="Times New Roman" w:cs="Times New Roman" w:eastAsia="Times New Roman" w:hAnsi="Times New Roman"/>
                <w:sz w:val="17"/>
                <w:szCs w:val="17"/>
                <w:color w:val="auto"/>
              </w:rPr>
              <w:t>Net cash provided by/(used in) continuing operating</w:t>
            </w: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4"/>
              </w:rPr>
              <w:t>activities</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(93,378)</w:t>
            </w:r>
          </w:p>
        </w:tc>
        <w:tc>
          <w:tcPr>
            <w:tcW w:w="100" w:type="dxa"/>
            <w:vAlign w:val="bottom"/>
          </w:tcPr>
          <w:p>
            <w:pPr>
              <w:spacing w:after="0"/>
              <w:rPr>
                <w:sz w:val="20"/>
                <w:szCs w:val="20"/>
                <w:color w:val="auto"/>
              </w:rPr>
            </w:pPr>
          </w:p>
        </w:tc>
        <w:tc>
          <w:tcPr>
            <w:tcW w:w="1380" w:type="dxa"/>
            <w:vAlign w:val="bottom"/>
            <w:gridSpan w:val="3"/>
          </w:tcPr>
          <w:p>
            <w:pPr>
              <w:jc w:val="right"/>
              <w:ind w:right="199"/>
              <w:spacing w:after="0"/>
              <w:rPr>
                <w:sz w:val="20"/>
                <w:szCs w:val="20"/>
                <w:color w:val="auto"/>
              </w:rPr>
            </w:pPr>
            <w:r>
              <w:rPr>
                <w:rFonts w:ascii="Times New Roman" w:cs="Times New Roman" w:eastAsia="Times New Roman" w:hAnsi="Times New Roman"/>
                <w:sz w:val="17"/>
                <w:szCs w:val="17"/>
                <w:color w:val="auto"/>
              </w:rPr>
              <w:t>(44,731)</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776,782</w:t>
            </w:r>
          </w:p>
        </w:tc>
        <w:tc>
          <w:tcPr>
            <w:tcW w:w="1620" w:type="dxa"/>
            <w:vAlign w:val="bottom"/>
            <w:gridSpan w:val="3"/>
          </w:tcPr>
          <w:p>
            <w:pPr>
              <w:jc w:val="right"/>
              <w:ind w:right="181"/>
              <w:spacing w:after="0"/>
              <w:rPr>
                <w:sz w:val="20"/>
                <w:szCs w:val="20"/>
                <w:color w:val="auto"/>
              </w:rPr>
            </w:pPr>
            <w:r>
              <w:rPr>
                <w:rFonts w:ascii="Times New Roman" w:cs="Times New Roman" w:eastAsia="Times New Roman" w:hAnsi="Times New Roman"/>
                <w:sz w:val="17"/>
                <w:szCs w:val="17"/>
                <w:color w:val="auto"/>
              </w:rPr>
              <w:t>(597,354)</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41,319</w:t>
            </w:r>
          </w:p>
        </w:tc>
      </w:tr>
      <w:tr>
        <w:trPr>
          <w:trHeight w:val="195"/>
        </w:trPr>
        <w:tc>
          <w:tcPr>
            <w:tcW w:w="20" w:type="dxa"/>
            <w:vAlign w:val="bottom"/>
          </w:tcPr>
          <w:p>
            <w:pPr>
              <w:spacing w:after="0"/>
              <w:rPr>
                <w:sz w:val="16"/>
                <w:szCs w:val="16"/>
                <w:color w:val="auto"/>
              </w:rPr>
            </w:pPr>
          </w:p>
        </w:tc>
        <w:tc>
          <w:tcPr>
            <w:tcW w:w="41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discontinued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(741,901</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597,354</w:t>
            </w: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(144,547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20" w:type="dxa"/>
            <w:vAlign w:val="bottom"/>
          </w:tcPr>
          <w:p>
            <w:pPr>
              <w:spacing w:after="0"/>
              <w:rPr>
                <w:sz w:val="16"/>
                <w:szCs w:val="16"/>
                <w:color w:val="auto"/>
              </w:rPr>
            </w:pPr>
          </w:p>
        </w:tc>
        <w:tc>
          <w:tcPr>
            <w:tcW w:w="4160" w:type="dxa"/>
            <w:vAlign w:val="bottom"/>
            <w:tcBorders>
              <w:bottom w:val="single" w:sz="8" w:color="CCEEFF"/>
            </w:tcBorders>
            <w:gridSpan w:val="5"/>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in)/provided by operating activities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(93,378</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(44,731</w:t>
            </w:r>
          </w:p>
        </w:tc>
        <w:tc>
          <w:tcPr>
            <w:tcW w:w="34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34,881</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(103,228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20" w:type="dxa"/>
            <w:vAlign w:val="bottom"/>
          </w:tcPr>
          <w:p>
            <w:pPr>
              <w:spacing w:after="0"/>
              <w:rPr>
                <w:sz w:val="16"/>
                <w:szCs w:val="16"/>
                <w:color w:val="auto"/>
              </w:rPr>
            </w:pPr>
          </w:p>
        </w:tc>
        <w:tc>
          <w:tcPr>
            <w:tcW w:w="416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Repayment of loans from Group companies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35,845</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(35,845)</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1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Receipt of advances repayment from Group companies</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ind w:right="259"/>
              <w:spacing w:after="0"/>
              <w:rPr>
                <w:sz w:val="20"/>
                <w:szCs w:val="20"/>
                <w:color w:val="auto"/>
              </w:rPr>
            </w:pPr>
            <w:r>
              <w:rPr>
                <w:rFonts w:ascii="Times New Roman" w:cs="Times New Roman" w:eastAsia="Times New Roman" w:hAnsi="Times New Roman"/>
                <w:sz w:val="17"/>
                <w:szCs w:val="17"/>
                <w:color w:val="auto"/>
              </w:rPr>
              <w:t>44,574</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3"/>
          </w:tcPr>
          <w:p>
            <w:pPr>
              <w:jc w:val="right"/>
              <w:ind w:right="181"/>
              <w:spacing w:after="0"/>
              <w:rPr>
                <w:sz w:val="20"/>
                <w:szCs w:val="20"/>
                <w:color w:val="auto"/>
              </w:rPr>
            </w:pPr>
            <w:r>
              <w:rPr>
                <w:rFonts w:ascii="Times New Roman" w:cs="Times New Roman" w:eastAsia="Times New Roman" w:hAnsi="Times New Roman"/>
                <w:sz w:val="17"/>
                <w:szCs w:val="17"/>
                <w:color w:val="auto"/>
              </w:rPr>
              <w:t>(44,574)</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20" w:type="dxa"/>
            <w:vAlign w:val="bottom"/>
          </w:tcPr>
          <w:p>
            <w:pPr>
              <w:spacing w:after="0"/>
              <w:rPr>
                <w:sz w:val="18"/>
                <w:szCs w:val="18"/>
                <w:color w:val="auto"/>
              </w:rPr>
            </w:pPr>
          </w:p>
        </w:tc>
        <w:tc>
          <w:tcPr>
            <w:tcW w:w="4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(14,600)</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(102,291)</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(174,058)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(290,949)</w:t>
            </w:r>
          </w:p>
        </w:tc>
      </w:tr>
      <w:tr>
        <w:trPr>
          <w:trHeight w:val="165"/>
        </w:trPr>
        <w:tc>
          <w:tcPr>
            <w:tcW w:w="20" w:type="dxa"/>
            <w:vAlign w:val="bottom"/>
          </w:tcPr>
          <w:p>
            <w:pPr>
              <w:spacing w:after="0"/>
              <w:rPr>
                <w:sz w:val="14"/>
                <w:szCs w:val="14"/>
                <w:color w:val="auto"/>
              </w:rPr>
            </w:pPr>
          </w:p>
        </w:tc>
        <w:tc>
          <w:tcPr>
            <w:tcW w:w="4160" w:type="dxa"/>
            <w:vAlign w:val="bottom"/>
            <w:gridSpan w:val="5"/>
          </w:tcPr>
          <w:p>
            <w:pPr>
              <w:spacing w:after="0" w:line="165" w:lineRule="exact"/>
              <w:rPr>
                <w:sz w:val="20"/>
                <w:szCs w:val="20"/>
                <w:color w:val="auto"/>
              </w:rPr>
            </w:pPr>
            <w:r>
              <w:rPr>
                <w:rFonts w:ascii="Times New Roman" w:cs="Times New Roman" w:eastAsia="Times New Roman" w:hAnsi="Times New Roman"/>
                <w:sz w:val="17"/>
                <w:szCs w:val="17"/>
                <w:color w:val="auto"/>
              </w:rPr>
              <w:t>Net cash provided by/(used in) continuing investing</w:t>
            </w: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4"/>
              </w:rPr>
              <w:t>activities</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21,245</w:t>
            </w:r>
          </w:p>
        </w:tc>
        <w:tc>
          <w:tcPr>
            <w:tcW w:w="100" w:type="dxa"/>
            <w:vAlign w:val="bottom"/>
          </w:tcPr>
          <w:p>
            <w:pPr>
              <w:spacing w:after="0"/>
              <w:rPr>
                <w:sz w:val="20"/>
                <w:szCs w:val="20"/>
                <w:color w:val="auto"/>
              </w:rPr>
            </w:pPr>
          </w:p>
        </w:tc>
        <w:tc>
          <w:tcPr>
            <w:tcW w:w="1380" w:type="dxa"/>
            <w:vAlign w:val="bottom"/>
            <w:gridSpan w:val="3"/>
          </w:tcPr>
          <w:p>
            <w:pPr>
              <w:jc w:val="right"/>
              <w:ind w:right="199"/>
              <w:spacing w:after="0"/>
              <w:rPr>
                <w:sz w:val="20"/>
                <w:szCs w:val="20"/>
                <w:color w:val="auto"/>
              </w:rPr>
            </w:pPr>
            <w:r>
              <w:rPr>
                <w:rFonts w:ascii="Times New Roman" w:cs="Times New Roman" w:eastAsia="Times New Roman" w:hAnsi="Times New Roman"/>
                <w:sz w:val="17"/>
                <w:szCs w:val="17"/>
                <w:color w:val="auto"/>
              </w:rPr>
              <w:t>(57,717)</w:t>
            </w: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(174,058)</w:t>
            </w:r>
          </w:p>
        </w:tc>
        <w:tc>
          <w:tcPr>
            <w:tcW w:w="1620" w:type="dxa"/>
            <w:vAlign w:val="bottom"/>
            <w:gridSpan w:val="3"/>
          </w:tcPr>
          <w:p>
            <w:pPr>
              <w:jc w:val="right"/>
              <w:ind w:right="181"/>
              <w:spacing w:after="0"/>
              <w:rPr>
                <w:sz w:val="20"/>
                <w:szCs w:val="20"/>
                <w:color w:val="auto"/>
              </w:rPr>
            </w:pPr>
            <w:r>
              <w:rPr>
                <w:rFonts w:ascii="Times New Roman" w:cs="Times New Roman" w:eastAsia="Times New Roman" w:hAnsi="Times New Roman"/>
                <w:sz w:val="17"/>
                <w:szCs w:val="17"/>
                <w:color w:val="auto"/>
              </w:rPr>
              <w:t>(80,419)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(290,949)</w:t>
            </w:r>
          </w:p>
        </w:tc>
      </w:tr>
      <w:tr>
        <w:trPr>
          <w:trHeight w:val="195"/>
        </w:trPr>
        <w:tc>
          <w:tcPr>
            <w:tcW w:w="20" w:type="dxa"/>
            <w:vAlign w:val="bottom"/>
          </w:tcPr>
          <w:p>
            <w:pPr>
              <w:spacing w:after="0"/>
              <w:rPr>
                <w:sz w:val="16"/>
                <w:szCs w:val="16"/>
                <w:color w:val="auto"/>
              </w:rPr>
            </w:pPr>
          </w:p>
        </w:tc>
        <w:tc>
          <w:tcPr>
            <w:tcW w:w="41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discontinued investing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108,889</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92,023</w:t>
            </w:r>
          </w:p>
        </w:tc>
        <w:tc>
          <w:tcPr>
            <w:tcW w:w="100" w:type="dxa"/>
            <w:vAlign w:val="bottom"/>
            <w:tcBorders>
              <w:top w:val="single" w:sz="8" w:color="CCEEFF"/>
            </w:tcBorders>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Borders>
              <w:bottom w:val="single" w:sz="8" w:color="CCEEFF"/>
            </w:tcBorders>
            <w:gridSpan w:val="5"/>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by/(used in) investing activities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21,245</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(57,717</w:t>
            </w:r>
          </w:p>
        </w:tc>
        <w:tc>
          <w:tcPr>
            <w:tcW w:w="34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(65,169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(97,285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(198,926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20" w:type="dxa"/>
            <w:vAlign w:val="bottom"/>
          </w:tcPr>
          <w:p>
            <w:pPr>
              <w:spacing w:after="0"/>
              <w:rPr>
                <w:sz w:val="16"/>
                <w:szCs w:val="16"/>
                <w:color w:val="auto"/>
              </w:rPr>
            </w:pPr>
          </w:p>
        </w:tc>
        <w:tc>
          <w:tcPr>
            <w:tcW w:w="416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Repayment for advances from Group companies</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(44,574)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44,574</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1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Repayment for loans from Group companies</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tcPr>
          <w:p>
            <w:pPr>
              <w:jc w:val="right"/>
              <w:ind w:right="199"/>
              <w:spacing w:after="0"/>
              <w:rPr>
                <w:sz w:val="20"/>
                <w:szCs w:val="20"/>
                <w:color w:val="auto"/>
              </w:rPr>
            </w:pPr>
            <w:r>
              <w:rPr>
                <w:rFonts w:ascii="Times New Roman" w:cs="Times New Roman" w:eastAsia="Times New Roman" w:hAnsi="Times New Roman"/>
                <w:sz w:val="17"/>
                <w:szCs w:val="17"/>
                <w:color w:val="auto"/>
              </w:rPr>
              <w:t>(35,845)</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3"/>
          </w:tcPr>
          <w:p>
            <w:pPr>
              <w:jc w:val="right"/>
              <w:ind w:right="241"/>
              <w:spacing w:after="0"/>
              <w:rPr>
                <w:sz w:val="20"/>
                <w:szCs w:val="20"/>
                <w:color w:val="auto"/>
              </w:rPr>
            </w:pPr>
            <w:r>
              <w:rPr>
                <w:rFonts w:ascii="Times New Roman" w:cs="Times New Roman" w:eastAsia="Times New Roman" w:hAnsi="Times New Roman"/>
                <w:sz w:val="17"/>
                <w:szCs w:val="17"/>
                <w:color w:val="auto"/>
              </w:rPr>
              <w:t>35,845</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4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Borrowings under loans from Group companies</w:t>
            </w:r>
          </w:p>
        </w:tc>
        <w:tc>
          <w:tcPr>
            <w:tcW w:w="15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(16,866)</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16,866</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20" w:type="dxa"/>
            <w:vAlign w:val="bottom"/>
          </w:tcPr>
          <w:p>
            <w:pPr>
              <w:spacing w:after="0"/>
              <w:rPr>
                <w:sz w:val="18"/>
                <w:szCs w:val="18"/>
                <w:color w:val="auto"/>
              </w:rPr>
            </w:pPr>
          </w:p>
        </w:tc>
        <w:tc>
          <w:tcPr>
            <w:tcW w:w="41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(6,421)</w:t>
            </w:r>
          </w:p>
        </w:tc>
        <w:tc>
          <w:tcPr>
            <w:tcW w:w="100" w:type="dxa"/>
            <w:vAlign w:val="bottom"/>
          </w:tcPr>
          <w:p>
            <w:pPr>
              <w:spacing w:after="0"/>
              <w:rPr>
                <w:sz w:val="18"/>
                <w:szCs w:val="18"/>
                <w:color w:val="auto"/>
              </w:rPr>
            </w:pPr>
          </w:p>
        </w:tc>
        <w:tc>
          <w:tcPr>
            <w:tcW w:w="1380" w:type="dxa"/>
            <w:vAlign w:val="bottom"/>
            <w:gridSpan w:val="3"/>
          </w:tcPr>
          <w:p>
            <w:pPr>
              <w:jc w:val="right"/>
              <w:ind w:right="259"/>
              <w:spacing w:after="0"/>
              <w:rPr>
                <w:sz w:val="20"/>
                <w:szCs w:val="20"/>
                <w:color w:val="auto"/>
              </w:rPr>
            </w:pPr>
            <w:r>
              <w:rPr>
                <w:rFonts w:ascii="Times New Roman" w:cs="Times New Roman" w:eastAsia="Times New Roman" w:hAnsi="Times New Roman"/>
                <w:sz w:val="17"/>
                <w:szCs w:val="17"/>
                <w:color w:val="auto"/>
              </w:rPr>
              <w:t>22,078</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15,657</w:t>
            </w:r>
          </w:p>
        </w:tc>
      </w:tr>
      <w:tr>
        <w:trPr>
          <w:trHeight w:val="165"/>
        </w:trPr>
        <w:tc>
          <w:tcPr>
            <w:tcW w:w="20" w:type="dxa"/>
            <w:vAlign w:val="bottom"/>
          </w:tcPr>
          <w:p>
            <w:pPr>
              <w:spacing w:after="0"/>
              <w:rPr>
                <w:sz w:val="14"/>
                <w:szCs w:val="14"/>
                <w:color w:val="auto"/>
              </w:rPr>
            </w:pPr>
          </w:p>
        </w:tc>
        <w:tc>
          <w:tcPr>
            <w:tcW w:w="4160" w:type="dxa"/>
            <w:vAlign w:val="bottom"/>
            <w:tcBorders>
              <w:top w:val="single" w:sz="8" w:color="CCEEFF"/>
            </w:tcBorders>
            <w:gridSpan w:val="5"/>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Net cash provided by/(used in) continuing financing</w:t>
            </w: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1"/>
              </w:rPr>
              <w:t>activities</w:t>
            </w:r>
          </w:p>
        </w:tc>
        <w:tc>
          <w:tcPr>
            <w:tcW w:w="6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(6,421)</w:t>
            </w: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(30,633)</w:t>
            </w: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(44,574)</w:t>
            </w:r>
          </w:p>
        </w:tc>
        <w:tc>
          <w:tcPr>
            <w:tcW w:w="162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97,285</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15,657</w:t>
            </w:r>
          </w:p>
        </w:tc>
      </w:tr>
      <w:tr>
        <w:trPr>
          <w:trHeight w:val="194"/>
        </w:trPr>
        <w:tc>
          <w:tcPr>
            <w:tcW w:w="20" w:type="dxa"/>
            <w:vAlign w:val="bottom"/>
          </w:tcPr>
          <w:p>
            <w:pPr>
              <w:spacing w:after="0"/>
              <w:rPr>
                <w:sz w:val="16"/>
                <w:szCs w:val="16"/>
                <w:color w:val="auto"/>
              </w:rPr>
            </w:pPr>
          </w:p>
        </w:tc>
        <w:tc>
          <w:tcPr>
            <w:tcW w:w="4160" w:type="dxa"/>
            <w:vAlign w:val="bottom"/>
            <w:tcBorders>
              <w:bottom w:val="single" w:sz="8" w:color="CCEEFF"/>
            </w:tcBorders>
            <w:gridSpan w:val="5"/>
          </w:tcPr>
          <w:p>
            <w:pPr>
              <w:spacing w:after="0" w:line="194" w:lineRule="exact"/>
              <w:rPr>
                <w:sz w:val="20"/>
                <w:szCs w:val="20"/>
                <w:color w:val="auto"/>
              </w:rPr>
            </w:pPr>
            <w:r>
              <w:rPr>
                <w:rFonts w:ascii="Times New Roman" w:cs="Times New Roman" w:eastAsia="Times New Roman" w:hAnsi="Times New Roman"/>
                <w:sz w:val="17"/>
                <w:szCs w:val="17"/>
                <w:color w:val="auto"/>
              </w:rPr>
              <w:t>Net cash provided by discontinued financing activities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100,000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416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Net cash (used in)/provided by financing</w:t>
            </w: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4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activities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(6,421)</w:t>
            </w: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b w:val="1"/>
                <w:bCs w:val="1"/>
                <w:color w:val="auto"/>
              </w:rPr>
              <w:t>(30,633)</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55,426</w:t>
            </w:r>
          </w:p>
        </w:tc>
        <w:tc>
          <w:tcPr>
            <w:tcW w:w="162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97,285</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115,657</w:t>
            </w:r>
          </w:p>
        </w:tc>
      </w:tr>
      <w:tr>
        <w:trPr>
          <w:trHeight w:val="194"/>
        </w:trPr>
        <w:tc>
          <w:tcPr>
            <w:tcW w:w="20" w:type="dxa"/>
            <w:vAlign w:val="bottom"/>
          </w:tcPr>
          <w:p>
            <w:pPr>
              <w:spacing w:after="0"/>
              <w:rPr>
                <w:sz w:val="16"/>
                <w:szCs w:val="16"/>
                <w:color w:val="auto"/>
              </w:rPr>
            </w:pPr>
          </w:p>
        </w:tc>
        <w:tc>
          <w:tcPr>
            <w:tcW w:w="416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auto"/>
              </w:rPr>
              <w:t>Effect of exchanges rates on cash and cash equivalents</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1,122</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rPr>
              <w:t>7,639</w:t>
            </w:r>
          </w:p>
        </w:tc>
        <w:tc>
          <w:tcPr>
            <w:tcW w:w="3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882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9,643</w:t>
            </w:r>
          </w:p>
        </w:tc>
        <w:tc>
          <w:tcPr>
            <w:tcW w:w="10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(77,432)</w:t>
            </w: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rPr>
              <w:t>(125,442)</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26,020</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(176,854)</w:t>
            </w:r>
          </w:p>
        </w:tc>
      </w:tr>
      <w:tr>
        <w:trPr>
          <w:trHeight w:val="185"/>
        </w:trPr>
        <w:tc>
          <w:tcPr>
            <w:tcW w:w="20" w:type="dxa"/>
            <w:vAlign w:val="bottom"/>
          </w:tcPr>
          <w:p>
            <w:pPr>
              <w:spacing w:after="0"/>
              <w:rPr>
                <w:sz w:val="16"/>
                <w:szCs w:val="16"/>
                <w:color w:val="auto"/>
              </w:rPr>
            </w:pPr>
          </w:p>
        </w:tc>
        <w:tc>
          <w:tcPr>
            <w:tcW w:w="4160" w:type="dxa"/>
            <w:vAlign w:val="bottom"/>
            <w:gridSpan w:val="5"/>
          </w:tcPr>
          <w:p>
            <w:pPr>
              <w:spacing w:after="0" w:line="185" w:lineRule="exact"/>
              <w:rPr>
                <w:sz w:val="20"/>
                <w:szCs w:val="20"/>
                <w:color w:val="auto"/>
              </w:rPr>
            </w:pPr>
            <w:r>
              <w:rPr>
                <w:rFonts w:ascii="Times New Roman" w:cs="Times New Roman" w:eastAsia="Times New Roman" w:hAnsi="Times New Roman"/>
                <w:sz w:val="17"/>
                <w:szCs w:val="17"/>
                <w:color w:val="auto"/>
              </w:rPr>
              <w:t>Cash and cash equivalents and restricted cash at beginning</w:t>
            </w: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year</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90,775</w:t>
            </w:r>
          </w:p>
        </w:tc>
        <w:tc>
          <w:tcPr>
            <w:tcW w:w="100" w:type="dxa"/>
            <w:vAlign w:val="bottom"/>
          </w:tcPr>
          <w:p>
            <w:pPr>
              <w:spacing w:after="0"/>
              <w:rPr>
                <w:sz w:val="20"/>
                <w:szCs w:val="20"/>
                <w:color w:val="auto"/>
              </w:rPr>
            </w:pPr>
          </w:p>
        </w:tc>
        <w:tc>
          <w:tcPr>
            <w:tcW w:w="1380" w:type="dxa"/>
            <w:vAlign w:val="bottom"/>
            <w:gridSpan w:val="3"/>
          </w:tcPr>
          <w:p>
            <w:pPr>
              <w:jc w:val="right"/>
              <w:ind w:right="259"/>
              <w:spacing w:after="0"/>
              <w:rPr>
                <w:sz w:val="20"/>
                <w:szCs w:val="20"/>
                <w:color w:val="auto"/>
              </w:rPr>
            </w:pPr>
            <w:r>
              <w:rPr>
                <w:rFonts w:ascii="Times New Roman" w:cs="Times New Roman" w:eastAsia="Times New Roman" w:hAnsi="Times New Roman"/>
                <w:sz w:val="17"/>
                <w:szCs w:val="17"/>
                <w:color w:val="auto"/>
              </w:rPr>
              <w:t>337,398</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385,036</w:t>
            </w:r>
          </w:p>
        </w:tc>
        <w:tc>
          <w:tcPr>
            <w:tcW w:w="180" w:type="dxa"/>
            <w:vAlign w:val="bottom"/>
          </w:tcPr>
          <w:p>
            <w:pPr>
              <w:spacing w:after="0"/>
              <w:rPr>
                <w:sz w:val="20"/>
                <w:szCs w:val="20"/>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813,209</w:t>
            </w:r>
          </w:p>
        </w:tc>
      </w:tr>
      <w:tr>
        <w:trPr>
          <w:trHeight w:val="162"/>
        </w:trPr>
        <w:tc>
          <w:tcPr>
            <w:tcW w:w="20" w:type="dxa"/>
            <w:vAlign w:val="bottom"/>
          </w:tcPr>
          <w:p>
            <w:pPr>
              <w:spacing w:after="0"/>
              <w:rPr>
                <w:sz w:val="14"/>
                <w:szCs w:val="14"/>
                <w:color w:val="auto"/>
              </w:rPr>
            </w:pPr>
          </w:p>
        </w:tc>
        <w:tc>
          <w:tcPr>
            <w:tcW w:w="4160" w:type="dxa"/>
            <w:vAlign w:val="bottom"/>
            <w:tcBorders>
              <w:top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end</w:t>
            </w: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of year</w:t>
            </w:r>
          </w:p>
        </w:tc>
        <w:tc>
          <w:tcPr>
            <w:tcW w:w="6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13,343</w:t>
            </w: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b w:val="1"/>
                <w:bCs w:val="1"/>
                <w:color w:val="auto"/>
              </w:rPr>
              <w:t>211,956</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rPr>
              <w:t>411,056</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636,355</w:t>
            </w:r>
          </w:p>
        </w:tc>
      </w:tr>
      <w:tr>
        <w:trPr>
          <w:trHeight w:val="195"/>
        </w:trPr>
        <w:tc>
          <w:tcPr>
            <w:tcW w:w="60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Note:</w:t>
            </w:r>
          </w:p>
        </w:tc>
        <w:tc>
          <w:tcPr>
            <w:tcW w:w="6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0"/>
        </w:trPr>
        <w:tc>
          <w:tcPr>
            <w:tcW w:w="41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(1) Cash flows within our group in operating activities</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 the 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7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9"/>
              </w:rPr>
              <w:t>(RMB 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720" w:type="dxa"/>
            <w:vAlign w:val="bottom"/>
            <w:gridSpan w:val="8"/>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8"/>
              </w:rPr>
              <w:t>Cash paid by VIEs to equity subsidiaries and primary beneficiaries of VIEs and their</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4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subsidiaries for purchasing of goods and service</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588,081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w:t>
            </w:r>
          </w:p>
        </w:tc>
      </w:tr>
      <w:tr>
        <w:trPr>
          <w:trHeight w:val="185"/>
        </w:trPr>
        <w:tc>
          <w:tcPr>
            <w:tcW w:w="20" w:type="dxa"/>
            <w:vAlign w:val="bottom"/>
          </w:tcPr>
          <w:p>
            <w:pPr>
              <w:spacing w:after="0"/>
              <w:rPr>
                <w:sz w:val="16"/>
                <w:szCs w:val="16"/>
                <w:color w:val="auto"/>
              </w:rPr>
            </w:pPr>
          </w:p>
        </w:tc>
        <w:tc>
          <w:tcPr>
            <w:tcW w:w="71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auto"/>
              </w:rPr>
              <w:t>Cash received by VIEs from equity subsidiaries and primary beneficiaries of VIEs and</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1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their subsidiaries for rendering of goods and service</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102,924</w:t>
            </w:r>
          </w:p>
        </w:tc>
        <w:tc>
          <w:tcPr>
            <w:tcW w:w="32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1,528</w:t>
            </w:r>
          </w:p>
        </w:tc>
      </w:tr>
      <w:tr>
        <w:trPr>
          <w:trHeight w:val="366"/>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w:t>
            </w:r>
          </w:p>
        </w:tc>
        <w:tc>
          <w:tcPr>
            <w:tcW w:w="35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Capitalization and Indebtedness</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Not applicable.</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600" w:right="7600" w:hanging="599"/>
        <w:spacing w:after="0" w:line="495" w:lineRule="auto"/>
        <w:tabs>
          <w:tab w:leader="none" w:pos="6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Reasons for the Offer and Use of Proceeds </w:t>
      </w:r>
      <w:r>
        <w:rPr>
          <w:rFonts w:ascii="Times New Roman" w:cs="Times New Roman" w:eastAsia="Times New Roman" w:hAnsi="Times New Roman"/>
          <w:sz w:val="17"/>
          <w:szCs w:val="17"/>
          <w:color w:val="auto"/>
        </w:rPr>
        <w:t>Not applicable.</w:t>
      </w:r>
    </w:p>
    <w:p>
      <w:pPr>
        <w:ind w:left="600" w:hanging="599"/>
        <w:spacing w:after="0"/>
        <w:tabs>
          <w:tab w:leader="none" w:pos="6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Risk Factors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An investment in our ADSs involves risks. Below is a summary of material risks we may face, organized under relevant headings. These risks are discussed more fully below in this Item 3. Key Information—D. Risk Factors.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 and Industry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Risks and uncertainties related to our business include, but not limited to, the following:</w:t>
      </w:r>
    </w:p>
    <w:p>
      <w:pPr>
        <w:spacing w:after="0" w:line="208" w:lineRule="exact"/>
        <w:rPr>
          <w:sz w:val="20"/>
          <w:szCs w:val="20"/>
          <w:color w:val="auto"/>
        </w:rPr>
      </w:pPr>
    </w:p>
    <w:p>
      <w:pPr>
        <w:ind w:left="900" w:hanging="294"/>
        <w:spacing w:after="0" w:line="27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Xiaomi is our strategic partner and our most important customer. A significant portion of our revenue derive from sales to Xiaomi. Changes in our relationship with Xiaomi could have a material adverse effect on our operating results;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highly competitive markets, and the scale and resources of some of our competitors may allow them to compete more effectively than we can, which could result in a loss of our market share and a decrease in our net revenues and profitability;</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effectively manage our growth and the increased complexity of our business, which could negatively impact our brand and financial performance;</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success depends on our ability to promote our brand and protect our reputation. Our failure to establish and promote our brand and any damage to our reputation will hinder our growth;</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engage in acquisition and investment activities, which could require significant management attention, disrupt our business, dilute shareholder value, and adversely affect our operating results.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900" w:hanging="294"/>
        <w:spacing w:after="0" w:line="274"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successfully develop and commercialize new products, services and technologies that are well received by consumers in a timely manner, our operating results may be materially and adversely affected;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expansion into new product categories and scenarios and substantial increases in product lines may expose us to new challenges and more risks;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the emerging and evolving home water solutions market in China, which may develop more slowly or differently than we expect. If the home water solutions market does not grow as we expect, or if we cannot expand our products and services to meet consumer demands, our results of operations may be materially and adversely affected;</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user engagement ceases to grow or declines, our business and operating results may be materially and adversely affected;</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complex and evolving Chinese and international laws and regulations, including those regarding data privacy and cybersecurity, many of which are subject to change and uncertain interpretation. Any changes in these laws could cause changes to our business practices and increased cost of operations, and any security breaches and our actual or perceived failure to comply with such laws could result in claims, penalties, damages to our reputation and brand, declines in user growth or engagement or otherwise harm our business;</w:t>
      </w:r>
    </w:p>
    <w:p>
      <w:pPr>
        <w:spacing w:after="0" w:line="174"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susceptible to supply shortages and interruptions, long lead times, and price fluctuations for raw materials and components, any of which could disrupt our supply chain and have a material adverse impact on our results of operations;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certain contract manufacturers to produce some of our products. If we encounter issues with them, our business and results of operations could be materially and adversely affected;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adversely impacted by product defects or other quality issues;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limited number of third-party e-commerce platforms to sell our products online. If our cooperation with such platforms terminates, deteriorates or becomes more costly, our business and results of operations may be materially and adversely affected;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risks associated with our network partners and their personnel for our network of Viomi offline stores.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Corporate Structure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Risks and uncertainties related to our corporate structure include, but not limited to, the following:</w:t>
      </w:r>
    </w:p>
    <w:p>
      <w:pPr>
        <w:spacing w:after="0" w:line="208" w:lineRule="exact"/>
        <w:rPr>
          <w:sz w:val="20"/>
          <w:szCs w:val="20"/>
          <w:color w:val="auto"/>
        </w:rPr>
      </w:pPr>
    </w:p>
    <w:p>
      <w:pPr>
        <w:jc w:val="both"/>
        <w:ind w:left="900" w:hanging="294"/>
        <w:spacing w:after="0" w:line="251"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Cayman Islands holding company with no equity ownership in our VIEs and we conduct our operations in China through (i) our PRC subsidiaries and (ii) our VIEs, with which we have maintained contractual arrangements. Investors in our ADSs thus are not purchasing equity interest in our VIEs in China but instead are purchasing equity interest in a Cayman Islands holding company.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our VIEs, and investors of our company face uncertainty about potential future actions by the PRC government that could affect the enforceability of the contractual arrangements with our VIEs and, consequently, significantly affect the financial performance of our VIEs and our company as a whole. The PRC regulatory authorities could disallow the VIEs structure, which would likely result in a material adverse change in our operations, and our Class A ordinary shares or our ADSs may decline significantly in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900" w:hanging="294"/>
        <w:spacing w:after="0" w:line="274"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contractual arrangements with our VIEs and their respective shareholders for substantially all of our business operation, which may not be as effective as direct ownership in providing operational control; and</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our VIEs or their shareholders to perform their obligations under our contractual arrangements with them would have an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Doing Business in China</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also subject to risks and uncertainties relating to doing business in China in general, including, but not limited to, the following:</w:t>
      </w:r>
    </w:p>
    <w:p>
      <w:pPr>
        <w:spacing w:after="0" w:line="208" w:lineRule="exact"/>
        <w:rPr>
          <w:sz w:val="20"/>
          <w:szCs w:val="20"/>
          <w:color w:val="auto"/>
        </w:rPr>
      </w:pPr>
    </w:p>
    <w:p>
      <w:pPr>
        <w:ind w:left="900" w:hanging="294"/>
        <w:spacing w:after="0" w:line="274"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PCAOB had historically been unable to inspect our auditor in relation to their audit work performed for our consolidated financial statements and the inability of the PCAOB to conduct inspections over our auditor in the past has deprived our investors with the benefits of such inspections;</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government’s significant oversight and discretion over our business operation could result in a material adverse change in our operations and the value of our ADSs;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China’s economic, political or social conditions or government policies could have a material adverse effect on our business and operations;</w:t>
      </w:r>
    </w:p>
    <w:p>
      <w:pPr>
        <w:spacing w:after="0" w:line="219" w:lineRule="exact"/>
        <w:rPr>
          <w:rFonts w:ascii="Times New Roman" w:cs="Times New Roman" w:eastAsia="Times New Roman" w:hAnsi="Times New Roman"/>
          <w:sz w:val="16"/>
          <w:szCs w:val="16"/>
          <w:color w:val="auto"/>
        </w:rPr>
      </w:pPr>
    </w:p>
    <w:p>
      <w:pPr>
        <w:ind w:left="900" w:hanging="294"/>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respond to changes in the regulatory environment in China could adversely affect us; and</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and filing with the CSRC or other PRC government authorities may be required if we were to conduct offshore offerings in the future, and, if required, we cannot predict whether or for how long we will be able to obtain such approval or complete such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ADSs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In addition to the risks described above, we are subject to general risks relating to our ADSs and Class A ordinary shares, including, but not limited to, the following:</w:t>
      </w:r>
    </w:p>
    <w:p>
      <w:pPr>
        <w:spacing w:after="0" w:line="159" w:lineRule="exact"/>
        <w:rPr>
          <w:sz w:val="20"/>
          <w:szCs w:val="20"/>
          <w:color w:val="auto"/>
        </w:rPr>
      </w:pPr>
    </w:p>
    <w:p>
      <w:pPr>
        <w:ind w:left="900" w:hanging="294"/>
        <w:spacing w:after="0"/>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the ADSs is likely to be volatile, which could result in substantial losses to investors; and</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dual-class share structure with different voting rights will limit your ability to influence corporate matters (and in certain situations, give certain holders of Class B ordinary shares control over the outcome of matters put to a vote of shareholders) and could discourage others from pursuing any change of control transactions that holders of our Class A ordinary shares and ADSs may view as beneficial.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Xiaomi is our strategic partner and our most important customer. A significant portion of our revenue derive from sales to Xiaomi. Changes in our relationship with Xiaomi could have a material adverse effect on our operating results.</w:t>
      </w:r>
    </w:p>
    <w:p>
      <w:pPr>
        <w:spacing w:after="0" w:line="155"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Xiaomi is our strategic partner and our most important customer. A significant portion of our revenue derive from sales to Xiaomi. Specifically, we recorded RMB1,292.9 million, RMB1,752.2 million and RMB2,174.9 million (US$311.0 million) in net revenues from sales to Xiaomi in the years ended December 31, 2023, 2024 and 2025, respectively, which represented 78.9%, 82.7% and 89.6% of our total net revenues during such periods, respectively. In addition, many of our Viomi-branded products are also sold through Xiaomi’s e-commerce platform, www.xiaomiyoupin.com, or Youpin, one of our online sales channels.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We sell a wide range of products to Xiaomi, including Xiaomi-branded water purification systems, water purifier filters, water heaters, range hoods and gas stoves, as well as other complementary products such as kettles, among others. We may discuss with Xiaomi to expand the product categories on which we collaborate, which may lead to increased revenues from Xiaomi. However, there is no assurance that these discussions and expansion of cooperation will materialize.</w:t>
      </w:r>
    </w:p>
    <w:p>
      <w:pPr>
        <w:spacing w:after="0" w:line="151"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Our cooperation with Xiaomi is provided in a series of contracts, all of which are subject to early termination by Xiaomi under specific circumstances. When any of such circumstances arise, Xiaomi may early terminate cooperation with us. We will initiate good faith negotiations with Xiaomi to renew the agreements whenever they are near the end of the term. However, we cannot assure you that we will be able to renew all such agreements, or on the same or more favorable terms.</w:t>
      </w:r>
    </w:p>
    <w:p>
      <w:pPr>
        <w:spacing w:after="0" w:line="151"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we can recover our production costs when we deliver certain categories of products to Xiaomi, and are entitled to share in the gross profit when Xiaomi sells them to end-customers. However, various reasons may lead to Xiaomi’s failure to sell these products, many of which are not within our control, including those related to Xiaomi but unrelated to the products we produced and risks that we could not preempt or prevent with commercially reasonable efforts.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Furthermore, Xiaomi sells a broad spectrum of products, including our Xiaomi-branded and our Viomi-branded products, as well as products unrelated to us through its various sales channels. We cannot assure you that our products can always receive the same level of attention and promotion efforts from Xiaomi that they have received thus far. If Xiaomi dedicates fewer resources to promoting and selling our products or introduces products that compete with ours, our net revenues may decrease as well. Negative publicity related to Xiaomi, including products offered by Xiaomi and unrelated to us, the celebrities Xiaomi are associated with, or even the labor policies or environmental issues of any of Xiaomi’s suppliers or manufacturers, may also have a material adverse effect on the sales of our products and public recognition of our brand. Furthermore, Xiaomi is also a shareholder of our company. When exercising its rights as our shareholder, Xiaomi may consider not only the interests of our company and our other shareholders but also its own interests, the interests of its own shareholders and the interests of its other affiliates. Our interests and those of our other shareholders may at times conflict with the interests of Xiaomi and its shareholders and other affiliates. Such conflicts may result in losing business opportunities for us, including opportunities to enter into lines of business that may overlap with those pursued by Xiaomi or companies within its ecosystem.</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operate in highly competitive markets, and the scale and resources of some of our competitors may allow them to compete more effectively than we can, which could result in a loss of our market share and a decrease in our net revenues and profitability.</w:t>
      </w:r>
    </w:p>
    <w:p>
      <w:pPr>
        <w:spacing w:after="0" w:line="151"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Embracing the mission of “</w:t>
      </w:r>
      <w:r>
        <w:rPr>
          <w:rFonts w:ascii="Times New Roman" w:cs="Times New Roman" w:eastAsia="Times New Roman" w:hAnsi="Times New Roman"/>
          <w:sz w:val="17"/>
          <w:szCs w:val="17"/>
          <w:b w:val="1"/>
          <w:bCs w:val="1"/>
          <w:color w:val="auto"/>
        </w:rPr>
        <w:t>AI for Better Water</w:t>
      </w:r>
      <w:r>
        <w:rPr>
          <w:rFonts w:ascii="Times New Roman" w:cs="Times New Roman" w:eastAsia="Times New Roman" w:hAnsi="Times New Roman"/>
          <w:sz w:val="17"/>
          <w:szCs w:val="17"/>
          <w:color w:val="auto"/>
        </w:rPr>
        <w:t>,” we strive to utilize AI technology to provide better drinking water solutions for households. As an industry-leading technology company in home water solutions in China, we have developed a distinctive “</w:t>
      </w:r>
      <w:r>
        <w:rPr>
          <w:rFonts w:ascii="Times New Roman" w:cs="Times New Roman" w:eastAsia="Times New Roman" w:hAnsi="Times New Roman"/>
          <w:sz w:val="17"/>
          <w:szCs w:val="17"/>
          <w:b w:val="1"/>
          <w:bCs w:val="1"/>
          <w:color w:val="auto"/>
        </w:rPr>
        <w:t>Equipment + Consumables</w:t>
      </w:r>
      <w:r>
        <w:rPr>
          <w:rFonts w:ascii="Times New Roman" w:cs="Times New Roman" w:eastAsia="Times New Roman" w:hAnsi="Times New Roman"/>
          <w:sz w:val="17"/>
          <w:szCs w:val="17"/>
          <w:color w:val="auto"/>
        </w:rPr>
        <w:t>” business model. We face intense competition from other smart home water solutions providers, internet companies, and traditional home water solution companies. We also face regional competition from local brands in the various geographies where our products are sold. We compete in various aspects, including brand recognition, value for money, user experience, breadth of product and service offerings, product functionality and quality, sales and distribution, supply chain management, customer loyalty, and talents, among others. Intensified competition may result in pricing pressures and reduced profitability and may impede our ability to achieve sustainable growth in our revenues or cause us to lose market share. Our competitors may also engage in aggressive and negative marketing or public relations strategies which may harm our reputation and increase our marketing expenses. Any of these results could substantially harm our results of operations.</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Some of our existing and potential competitors enjoy substantial competitive advantages, including: longer operating history, the capability to leverage their sales efforts and marketing expenditures across a broader portfolio of products, more established relationships with a larger number of suppliers, contract manufacturers and channel partners, access to larger and broader user bases, greater brand recognition, greater financial, research and development, marketing, distribution and other resources, more resources to make investments and acquisitions, larger intellectual property portfolios, and the ability to bundle competitive offerings with other products and services. We cannot assure you that we will compete with them successfully.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effectively manage our growth and the increased complexity of our business, which could negatively impact our brand and financial performance.</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strive to expand our product portfolio, strengthen our brand recognition, expand our sales channels, enhance our aftersales services capabilities, better manage our supply chain, upgrade our information systems and technologies, and devote other resources to our business expansions, among others. In addition, we have expanded our business overseas primarily through international franchises and agents. We expect that managing our business will become more complicated as we develop a wider product, service, sales channel and customer mix, sometimes in areas where we may have less experience. In addition, as we expand our product and service offerings, further diversify our sales channels and extend our global footprint, we will need to collaborate with a larger number of partners, maintain and expand mutually beneficial relationships with our existing and new partners, adapt our business management to the local corporate cultures and customs, and provide training, management and motivation for our employee base or network of cooperating partners, especially in case of our overseas business.</w:t>
      </w:r>
    </w:p>
    <w:p>
      <w:pPr>
        <w:spacing w:after="0" w:line="177"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We cannot assure you that we will be able to effectively manage our growth, that our current personnel, infrastructure, systems, procedures and controls or any measures to enhance them will be adequate and successful to support our expanding operations or that our strategies and new business initiatives will be executed successfully. If we are not able to manage our growth or execute our strategies effectively, our strategies may not be successful and our business and prospects may be materially and adversely affected. In addition, our business operations and growth may be affected by many factors beyond our control. For example, any failure by our contractual manufacturers or international franchisers to comply with ethical, social, product, labor and environmental laws, regulations or standards, any of their engagement in politically or socially controversial conduct, any of their misconduct in product manufacturing or sales or after-sale services, or any negative publicity about them, may negatively affect the public image of and demands for our products, which could adversely affect our business and results of operations.</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promote our brand and protect our reputation. Our failure to establish and promote our brand and any damage to our reputation will hinder our growth.</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utilize a number of marketing initiatives to promote our brand. We also actively participate in a variety of online and offline marketing events, such as the “618,” “Double Eleven” and “Double Twelve” shopping festivals. Additionally, we advertise across various channels, such as event sponsor, live streaming, KOL promotions and social media. We believe our strategy to enhance our brand recognition is crucial to our future success. We have invested, and will need to continue to dedicate, significant time, efforts and resources to advertising and market promotion initiatives. Our selling and marketing expenses were and RMB277.7 million (US$39.7 million) for the year ended December 31, 2025, representing 11.4% of our net revenues. We may need to devote an even greater portion of our resources to continue to strengthen our brand recognition and build our user base, which may impact our profitability. We cannot guarantee that our marketing efforts will ultimately be successful, as it is affected by numerous factors, including the effectiveness of our marketing campaigns, our ability to provide consistent, high-quality products and services, consumers’ satisfaction with our products, as well as supports and services we provide, among others.</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any negative publicity related to our brand, products, contract manufacturers, suppliers, distribution partners, strategic partners, such as Xiaomi, third-party ecosystem partners, or celebrities we are associated with could have an adverse impact on our brand, which may negatively affect our business and results of operations.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engage in acquisition and investment activities, which could require significant management attention, disrupt our business, dilute shareholder value, and adversely affect our operating results.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part of our business strategy, we may acquire or make investments in other companies, products, or technologies along our product value chain to complement our business, enhance the features and functionality of our products, and accelerate the expansion of our platform and network of strategic partners. We may not be able to find suitable acquisition or investment candidates and we may not be able to complete acquisition and investment on favorable terms, if at all. If we do complete acquisition and investment in the future, we may not ultimately strengthen our competitive position or achieve our goals; and any acquisition and investment we complete could be viewed negatively by users or investors. In addition, if we fail to successfully integrate such acquisitions, or the technologies associated with such acquisitions, into our company, the revenues and operating results of the combined company could be adversely affected. Acquisitions and investments are inherently risky and may not be successful, and they may disrupt our ongoing operations, divert management from their primary responsibilities, subject us to greater-than-expected liabilities and our expenses, and adversely impact our business, financial condition, operating results,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successfully develop and commercialize new products, services and technologies that are well received by consumers in a timely manner, our operating results may be materially and adversely affected.</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ability to compete successfully and grow our business depends in large part on our ability to continue to introduce new and innovative products, services and technologies that are well received by consumers and in a timely manner, and in turn, grow our household user base.</w:t>
      </w:r>
    </w:p>
    <w:p>
      <w:pPr>
        <w:spacing w:after="0" w:line="159"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Our ability to roll out new and innovative products and services depends on a number of factors, including significant investments in research and development, quality control of our products and services and effective management of our supply chain. The execution of such initiatives can be complex and costly. Consequently, we could experience delays in completing the development and introduction of new products, services and technologies in the future. We may need to devote an even greater portion of our resources to the research and development of new or enhanced products, services and technologies, which may adversely affect our profitability. In addition, our research and development efforts may not yield the benefits we expect to achieve in a timely manner, or at all. To the extent we are unable to execute our strategy of continually introducing new and innovative products, diversifying our product portfolio and satisfying consumers’ changing preferences, we may not be able to grow our household user base and our competitive position and results of operations may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expansion into new product categories and scenarios and substantial increases in product lines may expose us to new challenges and more risks.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strive to continue to expand and diversify our product offerings to cover additional scenarios in the home environment. Expanding into new product categories and scenarios and substantially increasing our product lines involve new risks and challenges. Our potential lack of familiarity with new products and scenarios and the lack of relevant customer data relating to these products may make it more difficult for us to anticipate user demand and preferences. We may misjudge market demand, resulting in inventory buildup and possible inventory write-downs. We may not be able to effectively control our costs and expenses in rolling out these new product categories and scenarios. We may have certain quality issues and experience higher return rates on new products, receive more customer complaints and face costly product liability claims, such as injury allegedly or actually caused by our products, which would harm our brand and reputation as well as our financial performance.</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Furthermore, we may need to price our new products more aggressively to penetrate new markets, and gain market share or remain competitive. It may be difficult for us to achieve profitability in the new product categories and our profit margin, if any, may be lower than we anticipate, which would adversely affect our overall profitability and results of operations.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operate in the emerging and evolving home water solutions market in China, which may develop more slowly or differently than we expect. If the home water solutions market does not grow as we expect, or if we cannot expand our products and services to meet consumer demands, our results of operations may be materially and adversely affected.</w:t>
      </w:r>
    </w:p>
    <w:p>
      <w:pPr>
        <w:spacing w:after="0" w:line="16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home water solutions market in China has experienced rapid growth in recent years. However, the growth rate may decrease due to uncertainties with respect to China’s economy, disposable income growth, acceptance of home water solutions products, and pace of development of technologies and other factors, including the growth of the broader home appliances market. Furthermore, the home water solutions market is constantly evolving, and it is uncertain whether our products and services will achieve and sustain high levels of demand and market acceptance. Our ability to expand the sales of our home water solutions products to a broader consumer base depends on several factors, including Chinese consumers’ receptiveness towards and adoption of smart home water solutions, the market awareness of our brand, the timely introduction and market acceptance of our products and services, the network effects of our offerings, our ability to attract, retain and effectively train sales and marketing personnel, the effectiveness of our marketing programs, our ability to develop effective relationships with distribution partners and expand our network of offline stores, the cost and functionality of our products and services, and the success of our competitors. If we are unsuccessful in developing and marketing our home water solutions products to consumers, the market for our products and services may not continue to develop or may develop more slowly than we expect, which would adversely affect our profitability and growth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user engagement ceases to grow or declines, our business and operating results may be materially and adversely affected.</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User engagement is important to our business model. Our value-added businesses ecosystem and the virtuous cycle that we anticipate to create depend heavily on the level of user engagement with the products and services provided by us.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Many factors may prevent users from continually engaging and habitually using our products, including:</w:t>
      </w:r>
    </w:p>
    <w:p>
      <w:pPr>
        <w:spacing w:after="0" w:line="208" w:lineRule="exact"/>
        <w:rPr>
          <w:sz w:val="20"/>
          <w:szCs w:val="20"/>
          <w:color w:val="auto"/>
        </w:rPr>
      </w:pPr>
    </w:p>
    <w:p>
      <w:pPr>
        <w:ind w:left="900" w:hanging="294"/>
        <w:spacing w:after="0" w:line="274"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glitches may occur, which may prevent our products and services from operating in a smooth and reliable manner, and hence adversely affect user experience;</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identify and meet evolving user demands and preferences;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successfully develop functionalities that could further enhance user engagement and generate recurring revenues, or the new or updated products and services we introduce may not be favorably received by users;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continue to successfully drive organic growth of users through word-of-mouth referrals, which may cause the growth of our user base to slow down or stall or require us to increase our promotion and advertising spending or devote additional resources to acquire users;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prevent or combat inappropriate use of our products and services, which may lead to negative public perception of us and damage our brand or reputation;</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may launch or develop similar or disruptive products and services with better user experience, which may result in a loss of existing users or declines in new user growth;</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address user concerns related to privacy and communication, data safety or security, and as a result, users may be deferred from using our products and services in scenarios that we hope to capture; and we may be compelled to modify our products and services to address requirements imposed by legislation, regulations, government policies or requests from government authorities in manners that may compromise user experience or make our products less affordable.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complex and evolving Chinese and international laws and regulations, including those regarding data privacy and cybersecurity, many of which are subject to change and uncertain interpretation. Any changes in these laws could cause changes to our business practices and increased cost of operations, and any security breaches and our actual or perceived failure to comply with such laws could result in claims, penalties, damages to our reputation and brand, declines in user growth or engagement or otherwise harm our business.</w:t>
      </w:r>
    </w:p>
    <w:p>
      <w:pPr>
        <w:spacing w:after="0" w:line="17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collect basic user information that is necessary to provide the corresponding services, such as phone number and address. Therefore, to comply with the laws and regulations, including the cybersecurity requirements of CAC and other authorities, and to ensure systematic cybersecurity, data and privacy protection, we periodically update our privacy policies, security policies and technologies, including encryption technology, firewall policies, virtual private cloud and host-based intrusion detection systems. As of the date of this annual report, we have not been involved in any formal investigations on cybersecurity review made by the CAC. Nonetheless, we still face inherent risks in managing and safeguarding personal data, with our website, Viomi mobile app, e-commerce platform and information systems being potential targets for various cyber threats, such as viruses, malware or phishing attacks. Given the development of techniques used to sabotage or obtain unauthorized access to systems and the fact that these techniques generally are not recognized until they are launched against a target, we may not be able to anticipate or implement effective preventative measures against these evolving threats. Furthermore, the growing sophistication and diversity of our products and services, along with the increasing expertise of hackers and advancements in cryptography, may lead to compromises or breaches of our website, app, platforms or information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particular, we face a number of challenges relating to data from transactions and other activities on our platform, including:</w:t>
      </w:r>
    </w:p>
    <w:p>
      <w:pPr>
        <w:spacing w:after="0" w:line="208" w:lineRule="exact"/>
        <w:rPr>
          <w:sz w:val="20"/>
          <w:szCs w:val="20"/>
          <w:color w:val="auto"/>
        </w:rPr>
      </w:pPr>
    </w:p>
    <w:p>
      <w:pPr>
        <w:ind w:left="900" w:hanging="294"/>
        <w:spacing w:after="0" w:line="274" w:lineRule="auto"/>
        <w:tabs>
          <w:tab w:leader="none" w:pos="9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the data in and hosted on our system, including against attacks on our system by outside parties or fraudulent behavior or improper use by our employees; and</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85" w:lineRule="auto"/>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concerns related to privacy and sharing, safety, security and other factors; and complying with applicable laws, rules and regulations relating to the collection, use, storage, transfer, disclosure and security of personal information, which are subject to change and new interpretations, including any changes in regulatory requirements and interpretation as well as requests from regulatory and government authorities relating to such data.</w:t>
      </w:r>
    </w:p>
    <w:p>
      <w:pPr>
        <w:spacing w:after="0" w:line="151"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Regulatory authorities in China have enhanced regulatory requirements related to data security, personal information protection and cybersecurity, many of which are subject to change and uncertain interpretation. These laws continue to develop, and the PRC government may adopt further rules, restrictions and clarifications in the future. See “</w:t>
      </w:r>
      <w:r>
        <w:rPr>
          <w:rFonts w:ascii="Times New Roman" w:cs="Times New Roman" w:eastAsia="Times New Roman" w:hAnsi="Times New Roman"/>
          <w:sz w:val="17"/>
          <w:szCs w:val="17"/>
          <w:i w:val="1"/>
          <w:iCs w:val="1"/>
          <w:color w:val="auto"/>
        </w:rPr>
        <w:t>Item 4. Information on the Company—B. Business Overview—Regulations—Regulations on Information Security and Privacy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Protection</w:t>
      </w:r>
      <w:r>
        <w:rPr>
          <w:rFonts w:ascii="Times New Roman" w:cs="Times New Roman" w:eastAsia="Times New Roman" w:hAnsi="Times New Roman"/>
          <w:sz w:val="17"/>
          <w:szCs w:val="17"/>
          <w:color w:val="auto"/>
        </w:rPr>
        <w:t>.” We expect that compliance with data security, personal information protection and cybersecurity will receive greater attention and focus from regulators,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both domestically and globally, as well as continued or greater public scrutiny and attention going forward. This trend would increase our compliance costs, result in our adjustments to business practices, and subject us to heightened risks and compliance challenges associated with these matters. We may be required to adopt stricter measures for protecting and managing the data and information we possess, and we may be required to complete cybersecurity review or take other specific actions. However, we face uncertainties as to whether we can complete these additional procedures in a timely manner, or at all. These uncertainties may subject us to government enforcement actions and investigations, fines, penalties, suspension of our non-compliant operations, or removal of our app from the application stores, which could materially and adversely affect our business and results of operations. In addition, pursuant to our business cooperation agreement with Xiaomi, we may obtain certain user data from Xiaomi in relation to the respective Xiaomi-branded products. Any leak or abuse of user data by Xiaomi may cause our users to lose trust in us and could expose us to legal claims. If our security measures are compromised because of third-party actions, employee errors, malfeasance, any violation of laws and regulations by our business partners pertaining to personal information protection and data security, or any failure in full compliance with the agreements with us, it could result in the theft or misuse of user data. If we are unable to manage these risks, or if we are accused of failing to comply with such laws and regulations timely, or at all, we could become subject to government enforcement actions, investigations, disputes and litigation, negative publicity, penalties, such as fines, suspension of business, websites, or applications, and revocation of required licenses, or even criminal liabilities, and our reputation and results of operations could be materially and adversely affected.</w:t>
      </w:r>
    </w:p>
    <w:p>
      <w:pPr>
        <w:spacing w:after="0" w:line="183"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Further, as we spread our footprints in overseas markets, we may also be subject to laws and regulations of other countries regarding cybersecurity, information security, privacy and data protection. For example, there are a number of legislative proposals in the European Union, the United States and other jurisdictions that could impose new obligations affecting our business. Additionally, a growing number of legislative and regulatory bodies have implemented consumer notification requirements in the event of unauthorized data access. These breach notification laws are evolving and may vary across jurisdictions, posing potential challenges, especially with our international expansion plans.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susceptible to supply shortages and interruptions, long lead times, and price fluctuations for raw materials and components, any of which could disrupt our supply chain and have a material adverse impact on our results of operations.</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product portfolio includes various product categories and product lines. Mass production of our products requires timely and adequate supply of various types of raw materials and components. A substantial majority of the components and raw materials used to produce our products are sourced from third-party suppliers, and some of these components and raw materials are sourced from a limited number of suppliers or a single supplier. Therefore, we are subject to risks of shortages or discontinuation in supply, long lead times, cost increases and quality control issues with our suppliers. In addition, some of our suppliers may have more established relationships with our competitors, and as a result of these relationships, such suppliers may choose to limit or terminate their relationships with us or prioritize our competitors’ orders in the case of supply shortages.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event of a component or raw material shortage or supply interruption from suppliers, we will need to identify alternative sources of supply, which can be time-consuming, difficult to locate, and costly. We may not be able to source these components or raw materials on terms that are acceptable to us, or at all, which may undermine our ability to meet our production requirements or to fill customer orders in a timely manner. This could cause delays in shipment of our products, harm our relationships with our customers, network partners and other business partners, and adversely affect our results of operations.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Moreover, the market prices for certain raw materials have been volatile. For example, we may experience significant increases in the market prices for certain important raw materials. If we experience price hike for raw materials, we may not be able to recover these costs through product price increase without comprising customer experience, which would have a negative effect on our financial results.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rely on certain contract manufacturers to produce some of our products. If we encounter issues with them, our business and results of operations could be affected.</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rely on certain contract manufacturers to produce some of our products. We may experience operational difficulties with our contract manufacturers, including reductions in the availability of production capacity, failure to comply with product specifications, insufficient quality control, failure to meet production deadlines, increases in manufacturing costs and longer lead time. Our contract manufacturers may experience disruptions in their manufacturing operations due to equipment breakdowns, labor strikes or shortages, natural disasters, component or material shortages, cost increases, violation of environmental, health or safety laws and regulations, health epidemics, or other problems. In addition, we may not be able to renew contracts with our contract manufacturers for our existing products or identify contract manufacturers who are capable of producing new products we target to launch in the future.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Any failure of such partners to perform with regards to quantity, quality or timely supply of products may have a material negative impact on our business and results of operations. In addition, if such failure affects our supplies to Xiaomi or other major customers, our relationship with Xiaomi or other such customers may be adversely affected.</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Furthermore, although our agreements with our contract manufacturers contain provisions imposing confidentiality obligations on them, and we have adopted security protocols to ensure knowhow and technologies for manufacturing our products could not be easily leaked or plagiarized, we cannot guarantee the effectiveness of these efforts and, any leakage or plagiary of our knowhow and technologies could be detrimental to our business prospects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adversely impacted by product defects or other quality issues.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Product defects or other quality issues can occur throughout the product development, design and manufacturing processes or as a result of our reliance on third parties for components, raw materials, and manufacturing. Any product defects or any other failure of our products or substandard product quality could harm our reputation and result in adverse publicity, lost revenues, delivery delays, product recalls, relationships with our network partners and other business partners, product liability claims, administrative penalties, harm to our brand and reputation, and significant warranty and other expenses, and could have a material adverse impact on our business, financial condition, operating results and prospects. While we maintain a reserve for product warranty costs based on certain estimates and our knowledge of current events and actions, our actual warranty costs may exceed our reserve, resulting in current period expenses and a need to increase our reserve for warranty costs.</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Moreover, since our products combine hardware and software, any glitches in the software may intervene and disrupt our efforts to integrate our products in consumers’ lifestyles. We rely on the connectivity and network effects of our products and services to attract consumers to expand their collection of our products, which we believe will reinforce a positive smart home experience. Any failure or defects that a consumer experiences in one product, however, may prevent this connectivity or network effect from being realized. As a result, we may be prevented from providing solutions to our customers and our business prospectus, results of operations and financial condition could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third-party e-commerce platforms to sell our products online. If our cooperation with such platforms terminates, deteriorates or becomes more costly, our business and results of operations may be materially and adversely affected.</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Currently, we rely on third-party e-commerce platforms such as JD.com, Pinduoduo, Tmall and Amazon, among others, for online sales and order fulfillment of our products and derive a material portion of our online sales revenue therefrom. If our cooperation with such third-party e-commerce platforms terminates, deteriorates or becomes more costly, or we fail to incentivize such platforms to drive traffic to our online stores or promote the sale of our products, our business and results of operations may be materially and adversely affected. We cannot guarantee that we will be able to find alternative channels on terms and conditions commercially acceptable to us in a timely manner, or at all, especially given their leading position and significant influence in China’s e-commerce industry. In addition, any internal operation or corporate restructuring and adjustments, negative publicities and operating conditions about such third-party e-commerce platforms, any public perception or claims that non-authentic, counterfeit or defective goods are sold on such platforms, be it with merit or proven or not, most of which are beyond our control, may deter visits to the platforms and result in less user traffics to our flagship stores, which may negatively impact our business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our network partners and their personnel for our network of Viomi offline stores.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rely on third-party network partners to operate our network of Viomi offline stores. We rely on these network partners to directly interact with and serve end customers, but the interest of a network partner may not be entirely aligned with ours. We set standards of practice of our network partners and provide incentives and periodic evaluation. However, our control over the network partners may not be as effective as if we directly owned and operated these offline stores.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network partners carry out a significant amount of direct interactions with end users of our products, and their performance directly affects our brand image. However, we do not directly supervise their interactions or services provided. Although we have established and distributed service standards across our network and provide extensive ongoing training to our third-party network partners, we may not be able to successfully monitor, maintain and improve the services they provide. We may experience service disruptions, customer complaints and reduced sales, and our reputation may be materially and adversely affected if end users of our products are unsatisfied with our network partners’ performance.</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offline stores may not be successful due to factors beyond our control, such as underperformance of the stores or adverse market conditions. Our network partners may also not have the necessary experience or resources to successfully operate the stores over time. We may also have disputes with our network partners. Suspension or termination of a network partner’s services in a particular area may cause interruption to or failure in our services in the corresponding area. We may not be able to promptly replace our network partners or find alternative ways to provide services in a timely, reliable and cost-effective manner, or at all. Any service disruptions associated with our network partners could result in our customer satisfaction, reputation, operations and financial performance being materially and adversely affected.</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adapt to technological changes and implement technological enhancements to our products and services, our ability to remain competitive could be adversely affected.</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home water solutions market, together with the broader consumer products and home appliances market, is known for its fast-paced technological advancements, frequent launches of new products and changing industry standards, including the rollout of AI technologies and related ecosystems. We have implemented an “</w:t>
      </w:r>
      <w:r>
        <w:rPr>
          <w:rFonts w:ascii="Times New Roman" w:cs="Times New Roman" w:eastAsia="Times New Roman" w:hAnsi="Times New Roman"/>
          <w:sz w:val="17"/>
          <w:szCs w:val="17"/>
          <w:b w:val="1"/>
          <w:bCs w:val="1"/>
          <w:color w:val="auto"/>
        </w:rPr>
        <w:t>AI for Better water</w:t>
      </w:r>
      <w:r>
        <w:rPr>
          <w:rFonts w:ascii="Times New Roman" w:cs="Times New Roman" w:eastAsia="Times New Roman" w:hAnsi="Times New Roman"/>
          <w:sz w:val="17"/>
          <w:szCs w:val="17"/>
          <w:color w:val="auto"/>
        </w:rPr>
        <w:t>” mission and further strengthened AI application and technology innovation, and have launched a number of innovative and exciting products to strengthen our extensive product portfolio, such as the Kunlun AI water purifiers. Although we are acting proactively to keep pace with the trends of AI as well as other technological developments in the industry, product development often requires significant lead-time and upfront investment. Our ability to attract new consumers and increase revenues from existing consumers will depend significantly on our ability to accurately anticipate changes in industry standards and to continue to appropriately fund development efforts to enhance our existing products and services or introduce new products and services in a timely manner to keep pace with technological developments. For example, intelligent display is important feature of our products, and the technologies supporting this have been rapidly developing. If any of our competitors implement new technologies before us, those competitors may be able to provide products that are more effective or with more user-friendly features than ours, possibly at lower prices, which could adversely impact our sales and impact our market share. In addition, any delay or failure in our introduction of new or enhanced products and services could harm our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guarantee that we will be able to successfully manage product manufacturing in-house or implement our strategic value chain investments effectively.</w:t>
      </w:r>
    </w:p>
    <w:p>
      <w:pPr>
        <w:spacing w:after="0" w:line="223"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2018, we established Guangdong Lizi Technology Co., Ltd., or Guangdong Lizi, focusing on the research, design, production and supply of smart water purifiers, water purifier filters. In 2020, we acquired land use rights to a parcel of land of approximately 36,000 square meters in Shunde, Guangdong Province, for the development of Viomi Technology Park, a comprehensive high-tech industrial campus. The construction was completed in the second half of 2023 and Guangdong Lizi subsequently relocated its original production lines to the facility, integrating them into the “Water Purifier Gigafactory.” Currently, the campus performs as one of our multi-functional headquarters, including an exhibition center, research and development center, smart manufacturing center mainly the Water Purifier Gigafactory, and centralized hub for sales and customer service functions. Going forward, the Water Purifier Gigafactory is prioritize the upgrading of water purification industrial chain capabilities. Accordingly, we face risks inherent to maintaining product development and manufacturing facilities or associated with expansion of production capacity and such other risks common in the product development and manufacturing industry. If we are unable to effectively manage the risks we face and produce high-quality products cost-efficiently to meet the market demand and implement effective cost and expense control, our business, financial condition and results of operations may be materially and negatively affected and we may not be able to recoup the investments we have made.</w:t>
      </w:r>
    </w:p>
    <w:p>
      <w:pPr>
        <w:spacing w:after="0" w:line="18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personnel expenses and other costs may increase as a result of the additional manpower retained for our manufacturing lines and the additional cost in terms of quality control. In addition, we may fail to attract and retain sufficient skilled manufacturing and mechanic workers. Furthermore, our facilities may experience disruptions due to equipment breakdowns, labor strikes or shortages, natural disasters, health epidemics, component or material shortages, cost increases or other similar issues.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may from time to time enter into contracts with some customers that provide certain favorable terms to such customers to expand our sales channels and increase our market penetration, which may, in certain situations, adversely affect our results of operations or profitability. For example, our contracts with leading e-commerce platforms provides, among others, return or discount clearance of certain slow-moving products and potential payment of various consideration to these platforms including payment for gross margin guarantee on certain products, monthly compensation for promotion and marketing activities, and advertising fees. For more details, please see “</w:t>
      </w:r>
      <w:r>
        <w:rPr>
          <w:rFonts w:ascii="Times New Roman" w:cs="Times New Roman" w:eastAsia="Times New Roman" w:hAnsi="Times New Roman"/>
          <w:sz w:val="17"/>
          <w:szCs w:val="17"/>
          <w:i w:val="1"/>
          <w:iCs w:val="1"/>
          <w:color w:val="auto"/>
        </w:rPr>
        <w:t>Item 5. Operating and Financial Review and Prospects—E. Critical Accounting Estimates—Critical Accounting Policies, Judgments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Estimates—Sales returns and sales incentives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Meanwhile, in-house manufacturing subjects us to various PRC environmental laws and regulations that are evolving and subject to further implementation and interpretation, potentially leading to higher compliance costs for us. We are also required to maintain all environmental permits, filings and registrations related to our business, including pollution discharge certificate, fire protection certificate, and the environmental protection examination and approval, which are subject to periodic renewal. Although we have obtained and completed all such permits, approval and registrations for our facilities as of the date of this annual report, we cannot assure you that we will be able to obtain their respective renewal in a timely manner, or at all. If we fail to comply in full respect with environmental laws and regulations, we may face fines, orders to suspend our manufacturing and civil or criminal litigations.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potential liabilities arising from the products we sell, and costs related to defective products could have a material adverse impact on us.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Disputes over warranties of our products can arise in the ordinary course of our business. In extreme situations, we may be exposed to various liabilities relating to potential personal injuries as a result of misuse or quality defects of the products we sell. We may experience material product liability losses, and we may be unable to defend these claims at a contained level of cost or at all. Although we have product liability insurance, we cannot assure you that our insurance coverage will be sufficient or that we will be able to obtain sufficient coverage at an acceptable cost in the future. A successful claim brought against us in excess of our available insurance coverage may have a material adverse effect on our business, results of operations and financial condition. Although we historically had insignificant volumes of product replacements or product returns, the cost of product replacements or product returns in the future may be substantial, particularly given our increasing product categories and models, and we could incur substantial costs to implement modifications to fix defects in our products.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consumers may experience service failures or interruptions due to defects in the software, infrastructure, components or processes that compromise our products and services, or due to errors in product installation, any of which could harm our business.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products and services may contain undetected defects in the software, infrastructure, components or processes. Sophisticated software and applications, such as those offered by us, often contain “bugs” that can unexpectedly interfere with the software and applications’ intended operations. Our internet services may from time to time experience outages, service slowdowns or errors. Defects may also occur in components or processes used in our products or for our services. There can be no assurance that we will be able to detect and fix all defects in the hardware, software and services we offer. Failure to do so could result in decreases in sales of our products and services, lost revenues, significant warranty and other expenses, decreases in customer confidence and loyalty, lost market share to our competitors, and harm to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delivery, return and exchange policies may adversely affect our results of operations.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adopted shipping policies that do not necessarily pass the full cost of shipping onto our customers. We also have adopted customer-friendly return and exchange policies that make it convenient and easy for customers to change their minds within seven days after completing direct online purchases from us. We may also be required by law to adopt new or amend existing return and exchange policies from time to time. These policies improve users’ shopping experience and promote customer loyalty, which in turn help us acquire and retain users. However, these policies also subject us to additional costs and expenses which we may not recoup through increased revenues. If our delivery, return and exchange policies are misused by a significant number of customers, our costs may increase significantly and our results of operations may be materially and adversely affected. If we revise these policies to reduce our costs and expenses, our users may be dissatisfied, which may result in loss of existing users or failure to acquire new users at a desirable pace, which may materially and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could be materially harmed if we are unable to accurately forecast consumer demand for our products or manage our inventory.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To ensure adequate supply for our products, we must forecast consumer demand for our products, including Xiaomi’s demand. Our ability to accurately forecast demand for our products could be affected by many factors, including changes in consumer perception of our products or our competitors’, sales promotions by us or our competitors, our sales channel inventory levels, and unanticipated changes in general market and economic conditions, among others.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manage our inventory by constantly monitoring and tracking our current inventory levels, while keeping a portion of reserve stock, based on our forecast customer demand. If we fail to accurately forecast customer demand, we may experience excess inventory levels or a shortage of products available for sale. For example, our inventory level could increase on a seasonal basis as we prepare for large online sales promotion events, and it would be difficult for us to forecast the sales that we may achieve in those events. Inventory levels in excess of customer demand may result in inventory write-downs or write-offs and the sale of excess inventory at discounted prices, which may cause our gross margin to suffer and could impair the strength of our brand. On the other hand, in the case we experience shortage of products, we may be unable to meet the demand for our products, and our business and operating results could be adversely affected.</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market competition for products similar to ours intensifies, we expect that it will become more difficult to forecast demand. In addition, as we continue to introduce new product and services and expand our products portfolio, we may face increasing challenges managing the production plan and appropriate inventory levels for our product portfolio.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efforts to manage, expand and diversify our customer base and sales channels may not be successful.</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key sales channels consist of a network of online e-commerce platforms, Viomi offline stores, third-party offline channels and overseas distribution channels, through which we predominantly sell Viomi-branded products, as well as Xiaomi, to which we predominantly sell Xiaomi-branded products. Historically, Xiaomi has been our largest and most important customer. A significant portion of our revenue derive from sales to Xiaomi. Specifically, sales to Xiaomi accounted for 78.9%, 82.7% and 89.6% of our net revenues in 2023, 2024 and 2025, respectively.</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Although we have devoted significant resources to maintaining, expanding and diversifying our customer base and sales channels, we cannot assure you that such efforts would succeed. Our current agreements with Xiaomi and third-party sales channels generally do not prohibit them from working with our competitors or from selling competing products. Our competitors may be more effective in providing incentives to our third-party online sales to favor our competitors’ products and promote their sales. Pursuing, establishing and maintaining relationships with our online sales partners requires significant time and resources. We cannot assure you that we will be able to renew those agreements upon their expiry on commercially acceptable terms, or at all. Any such occurrences may negatively impact our business, results of operations and growth prospect.</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we have been optimizing offline stores and cooperating with more and additional new network partners. With the increased scale of operations, we will be required to invest additional resources in managing our network partners, and hence we may not be able to expand as fast or as successfully as we expect. In addition, our sales network management systems may not be effective.</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service providers for logistics and aftersales services. If these service providers fail to provide reliable services, our business and reputation may be adversely affected.</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rely on third-party couriers and logistics providers for order fulfillment and delivery services, including shipping products to Xiaomi, our other customers as well as end-consumers. We also outsource a majority of our installation and after-sale services for our products to third-party service providers.</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While these arrangements allow us to focus on our main business, they reduce our direct control over the logistics and aftersales services provided to our customers. Logistics in our primary locations or transit to final destinations may be disrupted for a variety of reasons, including events that are beyond our control or the control of these service providers, such as inclement weather, natural and man-made disasters, health epidemics, information technology system failures, transportation disruptions, labor unrest, commercial disputes, military actions or economic, business, labor, environmental, public health, or political issues. If any of our service providers’ operations or services are disrupted or terminated, we may not be able to find alternative service providers with quality and on commercial terms to our satisfaction in a timely and reliable manner, or at all. Additionally, if our products are not delivered in proper condition or in a timely manner or if errors occur in product installation or product maintenance processes, our products and services may be compromised, customer experience may be impacted adversely and, as a result, our business and reputation could suffer. Further, if our logistics and after-sale service providers raise their fee rate, we may incur additional costs and may not be able to pass such costs to our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economic downturn may adversely affect consumer discretionary spending and demand for our products and services.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consumer sentiment, the availability and cost of consumer credit, levels of unemployment, and tax rates.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operating results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significant cybersecurity incident or disruption of our information technology systems or those of third-party partners could materially damage our user relationships and subject us to significant reputational, financial, legal and operational consequences.</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depend on our information technology systems, as well as those of third parties, to develop new products and services, operate our platform, host and manage our services, store data, process transactions, respond to user inquiries, and manage inventory and our supply chain. Any material disruption or slowdown of our systems or those of third parties whom we depend upon, including a disruption or slowdown caused by our failure to successfully manage significant increases in user volume, could cause outages or delays in our services, which could harm our brand and adversely affect our operating results.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rely on cloud servers maintained by Huawei, Tencent, Alibaba, Xiaomi, Amazon, Google and Volcengine to store our data. Problems with our cloud service providers or the telecommunications network providers with whom they contract could adversely affect the experience of our users. Our cloud service providers could decide to cease providing us with services without adequate prior notice. Any change in service levels at our cloud servers or any errors, defects, disruptions, or other performance problems with our platform could harm our brand and may damage the data of our users. If changes in technology cause our information systems, or those of third parties whom we depend upon, to become obsolete, or if our or their information systems are inadequate to handle our growth, we could lose users and our business and operating results could be adversely affected.</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Due to the ever-changing cyber threat landscape, our products may be subject to potential vulnerabilities, and our services may be subject to certain risks, including hacking or other unauthorized access to control or view systems and obtain private information.</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Companies that collect and retain sensitive and confidential information are under increasing attack by cyber-criminals around the world. While we implement security measures within our products, services, operations and systems, those measures may not prevent cybersecurity breaches, the access, capture or alteration of information by criminals, the exposure or exploitation of potential security vulnerabilities, distributed denial of service attacks, the installation of malware or ransomware, acts of vandalism, computer viruses, misplaced data or data loss that could disrupt the function of our products or services, and be detrimental to our reputation, business, financial condition, and results of operations.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Third parties, including distribution network partners, ecosystem partners and our other business partners, could also be a source of security risk to us in the event of a failure of their own products, components, networks, security systems, and infrastructure. In addition, we cannot be certain that advances in criminal capabilities, new discoveries in the field of cryptography, or other developments will not compromise or breach the technology protecting the networks that access our products and services. A significant actual or perceived (whether or not valid) theft, loss, fraudulent use or misuse of customer, employee, or other data, whether by us, our business partners, or other third parties, or as a result of employee error or negligence or otherwise, non-compliance with applicable industry standards or our contractual or other legal obligations regarding such data, or a violation of our privacy and information security policies with respect to such data, could result in costs, fines, litigation, or regulatory actions against us. Such an event could additionally result in unfavorable publicity and therefore materially and adversely affect the market’s perception of the security and reliability of our services and our credibility and reputation with our customers, which may lead to customer dissatisfaction and could result in lost sales and increased customer revenues attrition.</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intellectual property and proprietary rights may not adequately protect our products, and our business may suffer if third parties infringe our intellectual property and proprietary rights.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may not have sufficient intellectual property rights in all countries and regions where unauthorized third-party copying or use of our proprietary technology may occur and the scope of our intellectual property might be more limited in certain countries and regions. Our existing and future patents may not be sufficient to protect our products, services, technologies or designs and/or may not prevent others from developing competing products, services, technologies or designs. We cannot predict the validity and enforceability of our patents and other intellectual property with certainty. Litigation may be necessary to enforce our intellectual property rights. Initiating infringement proceedings against third parties can be expensive and time-consuming, and divert management’s attention from other business concerns. We may not prevail in litigation to enforce our intellectual property against unauthorized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According to our business cooperation agreement with Xiaomi, Xiaomi and we have joint ownership over most of the technology properties (other than industrial designs) and related intellectual properties generated from the process of design, development, manufacturing and sales of Xiaomi customized products and certain of our Viomi-branded products we supply to Xiaomi. Xiaomi may use these intellectual properties and user data to develop and manufacture competing products on its own and although the business cooperation agreement forbids the parties to license any third party to use the jointly owned intellectual properties without prior consent of the other party, we cannot ensure the compliance of Xiaomi with such agreement.</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a license agreement effective from June 24, 2018, we have obtained an exclusive and royalty-free right to use 11 patents owned by our founder and chief executive officer Mr. Xiaoping Chen. If, for any reason, we are no longer able to use such patents or are charged significant fees for the use, our business and results of operations could be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claims alleging our infringement of third-party intellectual properties from time to time.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commercial success depends in part on our ability to operate without infringing, misappropriating or otherwise violating the trademarks, patents, copyrights, trade secrets and other proprietary rights of others. We have adopted and implemented internal procedures and licensing practices to prevent unauthorized use of such intellectual properties or the infringement by us of other rights of third parties. However, we cannot be certain that these measures can be effective in completely preventing all possible infringement, misappropriation and other violations of third-party’s intellectual property rights or other rights during the course of our business. As we face increasing competition and as litigation becomes a more common way to resolve disputes in China, we face a higher risk of being the subject of intellectual property infringement claims.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cannot rule out the possibility that our operations or our business may infringe upon or otherwise violate patents, copyrights or other intellectual property rights held by third parties. In particular, we may enter into license agreements with third party proprietary right holders for our use of their intellectual properties in our operations. However, we cannot rule out the possibility that some uses of such licensed rights might exceed the authorized scope or permitted license time period specified in such license agreements. There could also be existing intellectual property of which we are not aware that our operations and business may inadvertently infringe upon. We license and use software and other technologies from third parties in our ordinary course of business. These third-party software or technology licenses may not continue to be available to us on acceptable terms or at all, and may expose us to potential infringement liability. Any such liability, or our inability to use any of these third-party software or technologies on acceptable terms or at all, could harm our reputation, result in increased operating costs, and/or disruptions to our business that may materially and adversely affect our operating and financial results.</w:t>
      </w:r>
    </w:p>
    <w:p>
      <w:pPr>
        <w:spacing w:after="0" w:line="180"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may from time to time in the future be subject to legal proceedings and claims relating to the intellectual property rights of others. Also, although we have not been subject to claims or lawsuits outside China, we cannot assure you that we will not become subject to intellectual property laws in other jurisdictions, such as the United States. If a claim of infringement brought against us in China, the United States or another jurisdiction is successful, we may be required to pay substantial penalties or other damages and fines, enter into license agreements which may not be available on commercially reasonable terms or at all or be subject to injunctions or court orders. Even if allegations or claims lack merit, defending against them could be both costly and time consuming and could significantly divert the efforts and resources of our management and other personnel. Competitors and other third parties may claim as well that our officers or employees or our contractual manufacturers have infringed, misappropriated or otherwise violated their patent, confidential information, trade secrets or technology in the course of their employment with us or in their course of manufacturing products for us, as the case may be. Although we take steps to prevent the unauthorized use or disclosure of such third-party information, intellectual property or technology by our officers, employees or contract manufacturers, we cannot guarantee that our internal intellectual property policy, any other policies or contractual provisions that we have implemented or may implement will be effective. If a claim of infringement was upheld by courts, we may suffer reputational harm and may be required to pay substantial damages, subject to injunction or court orders or be required to suspend sales of our products or to remit to the plaintiff the revenues we derive from the sales, any of which could adversely affect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technology that we license from third parties, including AI, that is integrated with our internally developed algorithms, software, or products.</w:t>
      </w:r>
    </w:p>
    <w:p>
      <w:pPr>
        <w:spacing w:after="0" w:line="212"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We rely on technology that we license from third parties. We cannot be certain that our licensors are not infringing the intellectual property rights of third parties or that our licensors have sufficient rights to the licensed intellectual property in all jurisdictions in which we may sell our products, neither can we guarantee that these licensors were, are or will be in full compliance with laws and regulations in relevant jurisdictions. All of these occurrences are beyond our control, and could result in our inability to continue to use the technologies and our incurrences of potential liabilities for our cooperation with such licensors. We believe that certain of our technology service suppliers are included in the Entity List under the Export Administration Regulations (EAR) administered by The Bureau of Industry and Security (BIS) of the U.S. Department of Commerce. As a result, exports or reexports from the U.S. and in-country transfers in the U.S. to such suppliers will face additional license requirements, and the availability of most license exceptions is limited. Currently, the inclusion of such suppliers into the Entity List has not had a material adverse effect on our use of their services or resulted in liabilities to us. However, we cannot rule out the possibility that additional restrictions of different nature could be imposed on such suppliers or other licensors or business partners of ours, especially in light of the changes in international trade policies and heightened political tensions between the U.S. and China. See also “—Risks Related to Doing Business in China—Changes in international trade policies and rising political tensions, particularly between the U.S. and China, may adversely impact our business and operating results.” In addition, we cannot assure you that our cooperation with such suppliers would not negatively impact our branding and marketing activities in the U.S. or other countries or regions. If we are unable to continue to license those technologies on commercially reasonable terms, we will face delays in releases of new products or functions or we will be required to delete this functionality from our products until equivalent, non-infringing technology can be licensed or developed and integrated into our current products. This effort could take significant time (during which we would be unable to continue to offer our affected products or services) and expenses and may ultimately not be successful. If we are unable to timely locate substitute technologies on commercially reasonable terms or at all in the event that our ability to continue to license technologies from any existing licensor is hindered, or if our branding or sales activities in the U.S. or other countries or regions or access to capital are negatively impacted or we are imposed with any restrictions or liabilities due to our suppliers’ being included in any of the entity list maintained by the U.S. or governmental actions taken by any other jurisdiction in which our products are sold, our business, results of operation, financial conditions and prospect may be negatively impacted.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sell our products and subject us to possible litigation.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 portion of the technologies we use incorporates open source software, and we may incorporate open source software in the future. Such open source software is generally licensed by its authors or other third parties under open source licenses. These licenses may subject us to certain unfavorable conditions, including requirements that we offer our products and services that incorporate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Additionally, if a third-party software provider has incorporated open source software into software that we license from such provider, we could be required to disclose or provide at no cost any of our source code that incorporates or is a modification of such licensed software. If an author or any third party that distributes open source software that we use or license were to allege that we had not complied with the conditions of the applicable license, we may need to incur significant legal expenses defending against such allegations and could be subject to significant damages and enjoined from the sale of our products and services that contained the open source software. Any of the foregoing could disrupt the distribution and sale of our products and services and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financing may not be available on terms acceptable to us, or at all.</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believe that our current cash and cash equivalents and anticipated cash flow from operations will be sufficient to meet our anticipated cash needs for the next 12 months. We may, however, require additional cash resources due to changed business conditions or other future developments, including any changes in our pricing policy, marketing initiatives or investments we may decide to pursue. If these resources are insufficient to satisfy our cash requirements, we may seek to obtain a credit facility or sell additional equity or debt securities. The sale of additional equity securities could result in dilution of our existing shareholders. The incurrence of indebtedness would result in increased debt service obligations and could result in operating and financing covenants that would restrict our operations. It is uncertain whether financing will be available in amounts or on terms acceptable to us, if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may be subject to seasonality.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operating results may vary significantly from period to period due to many factors, including seasonal factors that may have an effect on the demand for our products. We generally expect to experience higher sales in the second and fourth quarters, primarily attributable to the major shopping festivals such as “618,” “Double Eleven” and “Double Twelve,” which are popular among Chinese consumers. Given the impact of this seasonality, our interim results of operation and financial position at the end of a particular period may not necessarily be representative of the results we expect at year end or in other period of a year. Our operating results could also suffer if we do not achieve revenues consistent with our expectations for this seasonal demand because many of our expenses are based on anticipated levels of annual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labor costs in China increase substantially, our business and costs of operations may be adversely affected.</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Chinese economy had experienced labor cost increases in the wave of inflation in previous years. According to the National Bureau of Statistics of China, the year-over-year percent changes in the consumer price index for December 2023, 2024 and 2025 were a decrease of 0.3%, an increase of 0.1% and an increase of 0.8%, respectively. Given that majority of our contract manufacturers are currently located in China, rising labor costs in China will increase our personnel expenses. If we are unable to control our labor costs or pass on these increased labor costs, our financial condition and results of operations may be adversely affected. There can be no assurance that we will not be negatively affected in the future by the reoccurrence of inflation in China. As we procure most of our raw materials from China, the potential reoccurrence of inflation may adversely affects our costs of raw materials. We may not be able to pass on rising costs as a result of higher labor costs and increasing raw material prices to end consumers in the form of higher retail sale prices.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directors may have conflicts of interest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After the completion of the 2024 reorganization transaction, Mr. Xiaoping Chen, our founder, chairman of our board of directors, and chief executive officer, also controls and operates the divested IoT@Home business. Although the divested IoT@Home business does not compete with us directly, operating such business may divert a significant amount of Mr. Xiaoping Chen’s attention, which could have an adverse impact on our results of operations.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In connection with the audit of our consolidated financial statements included in this annual report, we identified material weaknesses in our internal control over financial reporting. If we fail to develop and maintain an effective system of internal control over financial reporting, we may be unable to accurately report our financial results or prevent fraud.</w:t>
      </w:r>
    </w:p>
    <w:p>
      <w:pPr>
        <w:spacing w:after="0" w:line="16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connection with the audit of our consolidated financial statements included in this annual report, we identified the following material weaknesses in our internal control over financial reporting. As defined in the standards established by the U.S. Public Company Accounting Oversight Board, or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material weaknesses identified related to (i) our lack of sufficient resources regarding financial reporting and accounting personnel with understanding of U.S. GAAP, in particular, to address complex U.S. GAAP technical accounting issues, related disclosures in accordance with U.S. GAAP and financial reporting requirements set forth by the SEC, and (ii) the lack of comprehensive U.S. GAAP accounting policies and financial reporting procedures.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taken measures and plan to continue to take measures to remediate the material weaknesses. See “Item 15. Controls and Procedures—Changes in Internal Control.” However, the implementation of these measures may not fully address the material weaknesses in our internal control over financial reporting, and we cannot conclude that they have been fully remediated. Our failure to correct the material weaknesses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are subject to the Sarbanes-Oxley Act of 2002. Section 404 of the Sarbanes-Oxley Act requires that we include a report from management on the effectiveness of our internal control over financial reporting in our annual report on Form 20-F beginning with our annual report for the fiscal year ended December 31, 2019. Based on its evaluation, our management concludes that our internal control over financial reporting as of December 31, 2025 was not effective. See “Item</w:t>
      </w:r>
    </w:p>
    <w:p>
      <w:pPr>
        <w:spacing w:after="0" w:line="1" w:lineRule="exact"/>
        <w:rPr>
          <w:sz w:val="20"/>
          <w:szCs w:val="20"/>
          <w:color w:val="auto"/>
        </w:rPr>
      </w:pPr>
    </w:p>
    <w:p>
      <w:pPr>
        <w:jc w:val="both"/>
        <w:ind w:firstLine="1"/>
        <w:spacing w:after="0" w:line="249" w:lineRule="auto"/>
        <w:tabs>
          <w:tab w:leader="none" w:pos="26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Controls and Procedures—Management’s Report on Internal Control over Financial Reporting.” For future fiscal years, our management may conclude that our internal control over financial reporting was not effective either.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requirements differently from us. We may be unable to timely complete our evaluation testing and any required remediation.</w:t>
      </w:r>
    </w:p>
    <w:p>
      <w:pPr>
        <w:spacing w:after="0" w:line="18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have granted, and may continue to grant, options and other types of awards under our share incentive plans, which may result in increased share-based compensation expense and have dilutive impact to you.</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shareholders and board of directors have adopted two share incentive plans. Pursuant to these two plans, a total of 46,913,947 ordinary shares underlying all awards may be issued. As of December 31, 2025, there were 25,036,905 ordinary shares issuable upon exercise of outstanding share options under these two plans at a weighted average price of US$ 0.46 per share. Competition for highly skilled personnel is often intense, and we may incur significant costs or be not successful in attracting, integrating, or retaining qualified personnel to fulfil our current or future needs. 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granting, vesting and exercise of the awards under these share incentive plans will have dilutive effect on your shareholding in our company.</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in part, on our ability to continue to attract, motivate and retain highly skilled personnel. In particular, the growth of our business and ecosystem may require us to hire experienced personnel with a wide range of skills.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from time to time, experienced, and we expect to continue to experience, difficulty in hiring and retaining highly skilled employees with appropriate qualifications. The loss of any key personnel, especially our founder, chairman, and chief executive officer Mr. Xiaoping Chen, could be disruptive to our operations and research and development activities, reduce our employee retention and revenues, and impair our ability to compete. In addition, if any of our senior management or key personnel joins a competitor or forms a competing company, we may lose know-how, trade secrets, business partners and key personnel. 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is no assurance that the number of shares reserved for issuance under our share incentive plans will be sufficient to grant equity awards adequate to recruit new employees and to compensate existing employees.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insurance coverage, which could expose us to significant costs and business disruption.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Although we maintain property insurance, product liability insurance and public liability insurance, we cannot assure you that our insurance coverage is sufficient. In addition, we do not have business disruption insurance or insurance policies covering damages to our IT infrastructure or information technology systems. Any disruptions to our IT infrastructures or systems or other business disruption event could result in substantial cost to us and diversion of our resources.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severe or prolonged downturn in the Chinese or global economy could materially and adversely affect our business and results of operations.</w:t>
      </w:r>
    </w:p>
    <w:p>
      <w:pPr>
        <w:spacing w:after="0" w:line="212"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Our business could be adversely affected by health epidemics, natural disasters or other acts of god. Fire, floods, typhoons, earthquakes, power loss, telecommunications failures, break-ins, war, military conflicts, riots, terrorist attacks or similar events that negatively impact the Chinese economy could also severely and adversely affect our business and operating performance. In light of ongoing inflationary pressure in many countries, the Federal Reserve and other central banks outside of China have raised interest rates, and a series of banks underwent failures in 2023.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Increasing focus with respect to environmental, social and governance matters may impose additional costs on us or expose us to additional risks. Failure to adapt to or comply with the evolving expectations and standards on environmental, social and governance matters from investors and the government may adversely affect our business, financial condition and results of operation.</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Governments of China and other regions and public advocacy groups have been increasingly focused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PRC government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effected.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Corporate Structure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If the PRC government finds that the agreements that establish the structure for operating some of our business operations in China do not comply with PRC regulations relating to the relevant industries or securities offering, or if these regulations or the interpretation of existing regulations change in the future, we could be subject to severe penalties, or be forced to relinquish our interest in those operations, or be materially and adversely affected on our ability to raise or utilize funds from future oversea offerings.</w:t>
      </w:r>
    </w:p>
    <w:p>
      <w:pPr>
        <w:spacing w:after="0" w:line="17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Due to PRC restrictions or prohibitions on foreign ownership of internet and other related business in China, we operate these businesses in China through our VIEs and their subsidiaries, in which we have no ownership interest. According to the Special Administrative Measures (Negative List) for Foreign Investment Access, our provision of internet information services falls within the restricted category and the equity ratio of foreign investment in the enterprises operating the business under the restricted category is subject to the cap of 50%. In addition, although our provision of e-commerce services falls within the permitted category, foreign investments in this business are still restricted by other requirements under related regulations in China. Our WFOEs have each entered into a series of contractual arrangements with one of our VIEs, and their respective shareholders, which enable us to (i) exercise effective control over our VIEs, (ii) receive substantially all of the economic benefits of our VIEs, and (iii) have an exclusive option to purchase all or part of the equity interests and assets in our VIEs when and to the extent permitted by PRC laws. As a result of these contractual arrangements, we have control over and are the primary beneficiary of our VIEs and hence consolidate their financial results into our consolidated financial statements under U.S. GAAP. Our VIEs currently include Beijing Yunmi Technology Co., Ltd., or Beijing Viomi, and Guangdong Interconnect Electric Appliances Technology Co., Ltd., or Guangdong Interconnect, and, prior to the completion of the 2024 reorganization transaction, our VIEs include Beijing Viomi and Foshan Yunmi Electric Appliances Technology Co., Ltd., or Foshan Viomi. Prior to the completion of the 2024 reorganization transaction, we operate our internet information and e-commerce services business primarily through our former VIE, Foshan Viomi. In the 2024 reorganization transaction, Foshan Viomi agreed to transfer the websites, mobile apps, mini programs operated by it and all the relates materials and rights (including but not limited to domain names, databases, codes, software, operational data, materials, documents, information) to Guangdong Interconnect. We have completed the transfer process with Foshan Viomi transfer in November 2025, and after the completion of the transfer, Guangdong Interconnect will replace Foshan Viomi in operating internet information and e-commerce services business. Investors in our ADSs are not purchasing equity interest in our VIEs in China but instead are purchasing equity interest in a holding company incorporated in the Cayman Islands. See “Item 4. Information on the Company—C. Organizational Structure” for further details.</w:t>
      </w:r>
    </w:p>
    <w:p>
      <w:pPr>
        <w:spacing w:after="0" w:line="18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Investors in our ADSs thus are not purchasing equity interest in our VIEs in China but instead are purchasing equity interest in a Cayman Islands holding company. Our holding company in the Cayman Islands, our VIEs and their subsidiaries, and investments in our company face uncertainty about potential future actions by the PRC government that could affect the enforceability of the contractual arrangements with our VIEs and, consequently, the business, financial condition, and results of operations of our VIEs and their subsidiaries and our company as a group. In addition, our ADSs may decline in value or become worthless if we are unable to assert our contractual control rights over the assets of our VIEs, which contributed 88.9%, 45.0% and 0.1% of our revenues in 2023, 2024 and 2025, respectively.</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the opinion of our PRC legal counsel, Han Kun Law Offices, (i) the ownership structure of our VIEs in China and our WFOEs, are not in violation of applicable PRC laws and regulations currently in effect; and (ii) subject to the disclosure in this annual report, the contractual arrangements between our WFOEs, our VIEs and their shareholders governed by PRC laws are valid, binding and enforceable, and will not result in any violation of applicable PRC laws.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our VIEs are found to be in violation of any existing or future PRC laws or regulations, or fail to obtain or maintain any of the required permits or approvals, the PRC regulatory authorities would have broad discretion to take action in dealing with such violations or failures, including:</w:t>
      </w:r>
    </w:p>
    <w:p>
      <w:pPr>
        <w:spacing w:after="0" w:line="180" w:lineRule="exact"/>
        <w:rPr>
          <w:sz w:val="20"/>
          <w:szCs w:val="20"/>
          <w:color w:val="auto"/>
        </w:rPr>
      </w:pPr>
    </w:p>
    <w:p>
      <w:pPr>
        <w:ind w:left="900" w:hanging="294"/>
        <w:spacing w:after="0" w:line="274"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levying fines or confiscating our income or the income of our WFOEs or our VIEs, placing restrictions on our right to collect revenues, or imposing other requirements with which we or our VIEs may not be able to comply;</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revoking or suspending the business licenses or operating licenses of our WFOEs or our VIEs, or to re-apply for the necessary licenses, or to relocate our business, staff and assets;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discontinuing or placing restrictions or onerous conditions on our operations through any transactions between our WFOEs and our VIEs;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restructure our ownership structure or operations, including the nullification or termination of the contractual arrangements with our VIEs and deregistering the equity pledges of our VIEs, which in turn would affect our ability to consolidate, derive economic interests from, or exert effective control over our VIEs;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900" w:hanging="294"/>
        <w:spacing w:after="0" w:line="274"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or prohibiting our use of the proceeds of our initial public offering to finance our business and operations in China; and taking other regulatory or enforcement actions that could be harmful to our business.</w:t>
      </w:r>
    </w:p>
    <w:p>
      <w:pPr>
        <w:spacing w:after="0" w:line="15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imposition of any of these penalties would result in a material and adverse effect on our ability to conduct our business. In addition, any of the assets under the name of the shareholders of our VIEs, including their shares in our VIEs, may be put under court custody in connection with litigation, arbitration or other judicial or dispute resolution proceedings against such shareholder. We cannot ensure that such shares will be disposed of in accordance with the contractual arrangements between our WFOEs, our VIEs and its shareholders. Furthermore, it is unclear what impact the PRC government actions would have on us and on our ability to consolidate the financial results of our VIEs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our VIEs or our right to receive substantially all the economic benefits and residual returns from our VIEs and we are not able to restructure our ownership structure and operations in a satisfactory manner, we would no longer be able to consolidate the financial results of our VIEs in our consolidated financial statements. Either of these occurrences, or any other significant penalties that might be imposed on us in this event, would have a material adverse effect on our financial condition and results of operations and could cause the value of our ADSs to decline or become worthless.</w:t>
      </w:r>
    </w:p>
    <w:p>
      <w:pPr>
        <w:spacing w:after="0" w:line="18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on February 17, 2023, the CSRC released the Trial Administrative Measures of Overseas Securities Offering and Listing by Domestic Companies and five supporting guidelines (collectively, the “Trial Measures for Overseas Listing”), which became effective on March 31, 2023. See “Item 4. Information on the Company—B. Business Overview—Regulations—Regulations on M&amp;A rules and overseas listings” for details. If we fail to complete the filing with the CSRC in a timely manner or at all, for any future offerings, listing or any other capital raising activities, which are subject to the filings under the Trial Measures for Overseas Listing, due to the contractual arrangements between our WFOEs, our VIEs and its shareholders, our ability to raise or utilize funds could be materially and adversely affected, and we may even need to unwind our contractual arrangements with our VIEs and its shareholders or restructure our business operations to rectify the failure to complete the filings. However, given that the Trial Measures for Overseas Listing are relatively new, their interpretation, application, and enforcement and how they will affect our operations and our future financing are still uncertain.</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rely on contractual arrangements with our VIEs and their respective shareholders, which may not be as effective as direct ownership in providing operational control.</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relied and expect to continue to rely on contractual arrangements with our VIEs and their shareholders to conduct part of our business in China. These contractual arrangements may not be as effective as direct ownership in providing us with control over our VIEs. For example, our VIEs and their shareholders could breach their contractual arrangements with us by, among other things, failing to conduct their operations in an acceptable manner or taking other actions that are detrimental to our interests.</w:t>
      </w:r>
    </w:p>
    <w:p>
      <w:pPr>
        <w:spacing w:after="0" w:line="17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If we had direct ownership of our VIEs, we would be able to exercise our rights as a shareholder to effect changes in the board of directors of our VIEs, which in turn could implement changes, subject to any applicable fiduciary obligations, at the management and operational level. However, under the current contractual arrangements, we rely on the performance by our VIEs and their shareholders of their obligations under the contracts to exercise control over our VIEs. However, the shareholders of our consolidated VIEs may not act in the best interests of our company or may not perform their obligations under these contracts. Such risks exist throughout the period in which we intend to operate certain portions of our business through the contractual arrangements with our VIEs. If any disputes relating to these contracts remains unresolved, we will have to enforce our rights under these contracts through the operations of PRC laws and arbitration, litigation and other legal proceedings and therefore will be subject to uncertainties as to the outcome of any such legal proceedings. See “—Any failure by our VIEs or their shareholders to perform their obligations under our contractual arrangements with them would have a material and adverse effect on our business, financial condition and results of operations.” Therefore, our contractual arrangements with our VIEs and their shareholders may not be as effective in ensuring our control over the relevant portion of our business operations as direct ownership would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failure by our VIEs or their shareholders to perform their obligations under our contractual arrangements with them would have an adverse effect on our business, financial condition and results of operations.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refer to the shareholders of our VIEs as their nominee shareholders because although they remain the holders of equity interests on record in our VIEs, pursuant to the terms of the relevant shareholder voting proxy agreements, each such shareholder has irrevocably authorized any person designated by our WFOE to exercise the rights as a shareholder of the VIEs. However, if our VIEs or their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contractual remedies, which we cannot assure you will be sufficient or effective under PRC laws. For example, if the shareholders of our VIEs were to refuse to transfer their equity interest in our VIEs to us or our designee if we exercise the purchase option pursuant to these contractual arrangements, or if they were otherwise to act in bad faith toward us, then we may have to take legal actions to compel them to perform their contractual obligations.</w:t>
      </w:r>
    </w:p>
    <w:p>
      <w:pPr>
        <w:spacing w:after="0" w:line="18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All of the agreements under our contractual arrangements are governed by PRC laws and stipulate the resolution of disputes through arbitration in China. The arbitration provisions relate to the claims arising out of the contractual relationship established by the VIE agreements, rather than claims under the United States federal securities laws, and do not prevent shareholders of our company from pursuing claims under the United States federal securities laws. Accordingly, these contracts would be interpreted in accordance with PRC laws and any disputes arising from these contracts would be resolved in accordance with PRC legal procedures. We cannot guarantee that we could successfully enforce these contractual arrangements in a timely manner, or at all. See “—Risks Related to Doing Business in China—Failure to respond to changes in the regulatory environment in China could adversely affect us.”</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Meanwhile,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In addition, under PRC laws, rulings by arbitrators are final, which means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our VIEs, and our ability to conduct our business may be negatively affected.</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Contractual arrangements in relation to our VIEs may be subject to scrutiny by the PRC tax authorities and they may determine that we or our VIEs owe additional taxes, which could negatively affect our financial condition and the value of your investment.</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its tax liabilities without reducing our WFOE’s tax expenses. In addition, the PRC tax authorities may impose late payment fees and other penalties on our VIEs for the adjusted but unpaid taxes according to the applicable regulations. Our financial position could be materially and adversely affected if our VIEs’ tax liabilities increase or if it is required to pay late payment fees and other penalties.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shareholders of our VIEs may have potential conflicts of interest with us, which may materially and adversely affect our business and financial condition.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Shareholders of our VIEs may have potential conflicts of interest with us. For instance, Mr. Xiaoping Chen, our founder, chairman of our board of directors, and chief executive officer, together with Zhuhai Yungui Enterprise Management Consulting Partnership (Limited Partnership), or Zhuhai Yungui, a limited partnership controlled and managed by Mr. Chen, holds the equity interests in Beijing Viomi, one of our VIEs. Currently, Foshan Viomi, 99.78% equity interests of which is held by Mr. Chen and the remaining 0.22% equity interests of which is held by Zhuhai Yungui, holds 100% of equity interests in the other VIE, Guangdong Interconnect. Conflicts of interest may arise between their roles in our company and their positions as nominal shareholders of our VIEs. These shareholders of our VIEs may breach, or cause our VIEs to breach, or refuse to renew, the existing contractual arrangements we have with them and our VIEs, which would have a material and adverse effect on our ability to effectively control our VIEs and receive economic benefits from them.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the shareholder will act in the best interests of our company or such conflicts will be resolved in our favor.</w:t>
      </w:r>
    </w:p>
    <w:p>
      <w:pPr>
        <w:spacing w:after="0" w:line="183"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Currently, we do not have any arrangements to address potential conflicts of interest between these shareholders and our company, except that we could exercise our purchase option under the exclusive option agreements with these shareholders to request them to transfer all or part of their equity interests in the VIEs to a PRC entity or individual designated by us, to the extent permitted by PRC laws. Two nominee shareholders of our VIEs, namely Mr. Xiaoping Chen and Zhuhai Yungui, hold the equity interests in our VIEs. We rely on them to abide by the laws of the Cayman Islands, which provide that directors owe fiduciary duties to the company that require them to act in good faith and in what they believe to be the best interests of the company and not to use their positions for personal gain. If we cannot resolve any conflict of interest or dispute between us and the shareholders of our VIEs, we would have to rely on legal proceedings, which could result in disruption of our business and subject us to substantial uncertainty as to the outcome of any such legal proceedings.</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shareholders of our VIEs may be involved in personal disputes with third parties or other incidents that may have an adverse effect on their respective equity interests in our VIEs and the validity or enforceability of our contractual arrangements with our VIEs and their shareholders. For example, in the event that any of the shareholders of our VIEs divorces his or her spouse, the spouse may claim that the equity interests of our VIEs held by such shareholder are part of their community property and should be divided between such shareholder and his or her spouse. If such claim is supported by the court, the relevant equity interests may be obtained by the shareholder’s spouse or any third party who is not subject to obligations under our contractual arrangements, which could result in a loss of our effective control over the VIEs. Similarly, if any of the equity interests of our VIEs is inherited by a third party on whom the current contractual arrangements are not binding, we could lose our control over the VIEs or have to maintain such control by incurring unpredictable costs, which could cause significant disruption to our business and operations and harm our financial condition and results of operations.</w:t>
      </w:r>
    </w:p>
    <w:p>
      <w:pPr>
        <w:spacing w:after="0" w:line="18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Although under our current contractual arrangements, the spouse of Mr. Chen has executed spousal consent letters, under which she agrees that she will not take any actions or raise any claims to interfere with the performance by her spouse of the obligations under these contractual arrangements, including claiming community property ownership of the equity interests, and renounces any and all rights and interests related to such equity interests that she may be entitled to under applicable laws. We cannot assure you that these undertakings and arrangements will be complied with or effectively enforced. In the event that any of them is breached or becomes unenforceable and leads to legal proceedings, it could disrupt our business, distract our management’s attention and subject us to substantial uncertainties as to the outcome of any such legal proceedings.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may rely on dividends paid by our PRC subsidiaries to fund any cash and financing requirements we may have. Any limitation on the ability of our PRC subsidiaries to pay dividends to us could have a material adverse effect on our ability to conduct our business and to pay dividends to holders of the ADSs and our ordinary shares.</w:t>
      </w:r>
    </w:p>
    <w:p>
      <w:pPr>
        <w:spacing w:after="0" w:line="16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a holding company, and we may rely on dividends to be paid by our wholly-owned PRC subsidiaries for our cash and financing requirements, including the funds necessary to pay dividends and other cash distributions to the holders of the ADSs and our ordinary shares and service any debt we may incur. If our wholly owned PRC subsidiaries incur debt on their own behalf in the future, the instruments governing the debt may restrict their ability to pay dividends or make other distributions to us.</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PRC laws and regulations, wholly foreign-owned enterprises in the PRC, such as our WFOEs, may pay dividends only out of its accumulated profits as determined in accordance with PRC accounting standards and regulations. In addition, a wholly foreign-owned enterprise is required to set aside at least 10% of its after-tax profits each year, after making up previous years’ accumulated losses, if any, to fund certain statutory reserve funds, until the aggregate amount of such a fund reaches 50% of its registered capital. In addition, it may allocate a portion of its after-tax profits based on PRC accounting standards to discretionary reserve funds at its discretion. These reserve funds are not distributable as cash dividends. Any limitation on the ability of our wholly-owned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lose the ability to use and enjoy assets held by our VIEs that may be material to the operation of certain portion of our business if the VIEs go bankrupt or becomes subject to a dissolution or liquidation proceeding.</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VIEs and their subsidiaries hold part of our assets, some of which may be material to the operation of our business. If our VIEs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VIEs may not, in any manner, sell, transfer, mortgage or dispose of any of their material assets outside the ordinary course of operation or equity interests in the business operation without our prior consent. If our VIEs undergo voluntary or involuntary liquidation proceedings, independent third-party creditors may claim rights to some or all of these assets, thereby hindering our ability to operate our business, which could materially and adversely affect our business, financial condition and results of operations.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chops of our PRC subsidiaries and our VIEs are not kept safely, are stolen or are used by unauthorized persons or for unauthorized purposes, the corporate governance of these entities could be severely and adversely compromised.</w:t>
      </w:r>
    </w:p>
    <w:p>
      <w:pPr>
        <w:spacing w:after="0" w:line="155"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VIEs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China</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PCAOB had historically been unable to inspect our auditor in relation to their audit work performed for our consolidated financial statements and the inability of the PCAOB to conduct inspections over our auditor in the past has deprived our investors with the benefits of such inspections.</w:t>
      </w:r>
    </w:p>
    <w:p>
      <w:pPr>
        <w:spacing w:after="0" w:line="155"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are deprived of the benefits of such PCAOB inspections. The inability of the PCAOB to conduct inspections of auditors in China in the past had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consolidated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Pursuant to the HFCAA, if the SEC determines that we have filed audit reports issued by a registered public accounting firm that has not been subject to inspections for the PCAOB for two consecutive years, the SEC shall prohibit our shares or ADSs from being traded on a national securities exchange or in the over-the-counter trading market in the United States.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December 16, 2021, the PCAOB issued a report to notify the SEC of its determination that the PCAOB was unable to inspect or investigate completely registered public accounting firms headquartered in mainland China and Hong Kong and our auditor is subject to that determination. In May 2022, the SEC conclusively listed us as a Commission-Identified Issuer under the HFCAA following the filing of our annual report on Form 20-F for the fiscal year ended December 31, 2021. As of the date of this annual report, the PCAOB has not issued any new determination regarding its ability to inspect or investigate registered public accounting firms headquartered in mainland China and Hong Kong. For this reason, we do not expect to be identified as a Commission-Identified Issuer under the HFCAA after we file this annual report on Form 20-F.</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consolidated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PRC government’s significant oversight and discretion over our business operation could result in a material adverse change in our operations and the value of our ADSs.</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conduct our business primarily in China. The PRC government has significant oversight over the conduct of our business, and may regulate or influence our operations.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Also, the PRC government has recently indicated an intent to exert more oversight over overseas offerings that are conducted by China-based issuers. Therefore, investors of our company and our business face potential uncertainty from actions taken by the PRC government affecting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China’s economic, political or social conditions or government policies could have a material adverse effect on our business and operations.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Substantially all our operations are located in China. The PRC government has significant authority to regulate in the China operations of an offshore holding company, such as us.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In addition, the PRC government continues to play a significant role in regulating industry development by imposing industrial policies. The PRC government also has significant authority to regulate a China-based company, such as us, to conduct its business. Therefore, investors of our company and our business face regulatory challenges from China.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Any adverse changes in economic conditions in China, in government policies or in the laws and regulations in China could have a material adverse effect on the overall economic growth. Such developments could adversely affect our business and operating results, lead to reduction in demand for our products and services and adversely affect our competitive position.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policies that encourage increased competition in our industry, or additional control over capital investments or changes in tax regulations. In addition, in the past the PRC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respond to changes in the regulatory environment in China could adversely affect us.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conduct our business primarily through our PRC subsidiaries and consolidated VIEs in China. Our operations in China are governed by PRC laws and regulations. Our PRC subsidiaries and consolidated VIEs are subject to laws and regulations applicable to foreign investment in China. The PRC legal system is based on written statutes, and court decisions have limited precedential value. The PRC legal system is evolving rapidly and PRC laws, regulations, and rules may change from time to time. The interpretations of many laws, regulations and rules are subject to further implementation and clarification. For example, the PRC Foreign Investment Law, which took effect on January 1, 2020, embodies a PRC regulatory trend to rationalize its foreign investment regulatory regime in line with prevailing international practice and the legislative efforts to unify the corporate legal requirements for both foreign and domestic investments. However, substantial uncertainties exist with respect to the interpretation and implementation of the PRC Foreign Investment Law, its implementation rules and ancillary regulations, which may materially impact the viability of our current corporate structure, corporate governance and business operations. We cannot assure you that we will remain fully compliant with all new regulatory requirements or any future implementation rules on a timely basis, or at all. Any failure of us to fully comply with new regulatory requirements may significantly limit or completely hinder our ability to offer or continue to offer the ADSs, cause significant disruption to our business operations, and severely damage our reputation, which would materially and adversely affect our financial condition and results of operations and cause the ADSs to significantly decline in value or become worthless.</w:t>
      </w:r>
    </w:p>
    <w:p>
      <w:pPr>
        <w:spacing w:after="0" w:line="17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From time to time, we may have to resort to court and administrative proceedings to enforce our legal rights. However, it may be difficult to predict the outcome of a judicial or administrative proceeding and the level of legal protection we may enjoy. Furthermore, the PRC legal system is based, in part, on government policies and internal rules, which are continually evolving. As a result, we may not always be aware of any potential violation of these policies and rules until sometime after the violation. Such unpredictability towards our contractual, property (including intellectual property), and procedural rights could adversely affect our business and impede our ability to continue our operations.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PRC government extensively regulates the internet industry, including foreign ownership of, and the licensing and permit requirements pertaining to, companies in the internet industry. These internet-related laws and regulations are constantly evolving, and their interpretation and enforcement may be subject to changes from time to time. As a result, in certain circumstances it may be difficult to determine what actions or omissions may be deemed to be in violation of applicable laws and regulations.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Prior to the completion of the 2024 reorganization transaction, our former VIE, Foshan Viomi, holds an operating permit for e-commerce services and an operating permit for internet information services. After the completion of the 2024 reorganization transaction, Guangdong Interconnect has obtained an operating permit for e-commerce services and an operating permit for internet information services. In addition, the licenses, permits or registrations we may hold in the future are subject to periodic renewal. If we fail to maintain or renew one or more of our licenses and certificates when their term expires, or obtain such renewals on a timely manner, our operations could be disrupted. In addition, under the PRC laws and regulations, our VIEs as license holders are required to update certain licenses if any change to their respective name, registered capital or legal representative during the validity period of such license. If we fail to properly renew and maintain all such requisite licenses on time, we may face penalties and in extreme circumstances, order to suspend or terminate our website and online business.</w:t>
      </w:r>
    </w:p>
    <w:p>
      <w:pPr>
        <w:spacing w:after="0" w:line="177"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Furthermore, future interpretation and application of existing PRC laws, regulations and policies and possible new laws, regulations or policies relating to the internet industry may create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new ones. Neither can we rule out the possibility that the licenses, permits, registrations or filings we hold may be deemed insufficient by PRC governments, which may restrain our ability to expand our business scope and may subject us to fines or other regulatory actions. Additionally, as we develop and expand our business scope, we may need to obtain additional permits and licenses and we cannot assure that we will be able to obtain such permits on time or at all. If the PRC government considers that we were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adverse effect on our business and results of operations.</w:t>
      </w:r>
    </w:p>
    <w:p>
      <w:pPr>
        <w:spacing w:after="0" w:line="16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55"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we conduct substantially all of our operations in China and substantially all of our assets are located in China. In addition, most of our senior managements reside within China for a significant portion of the time and are PRC nationals. As a result, it may be difficult for you to effect service of process upon us or those persons inside mainland China. It may also be difficult for you to enforce U.S. courts judgments obtained in U.S. courts based on the civil liability provisions of the U.S. federal securities laws against us and our officers and directors, substantial of whom currently reside outside of the United States and whose assets are located outside the United States. In addition, there is uncertainty as to whether the courts of the Cayman Islands would (a) recognize or enforce judgments of the United States courts against us or our directors or officers predicated upon the civil liability provisions of the securities laws of the United States or any state in the United States, or (b) entertain original actions brought in the Cayman Islands to impose liabilities against us or our directors or officers that are predicated upon the civil liability provisions of federal securities laws of the United States or the securities laws of any state in the United States so far as the liabilities imposed by those provisions are penal in nature. Although there is no statutory recognition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disputes, by an action commenced on the foreign judgment debt in the Grand Court of the Cayman Islands, provided such judgment (1) is given by a foreign court of competent jurisdiction, (2) imposes on the judgment debtor a liability to pay a liquidated sum for which the judgment has been given, (3) is final and conclusive, (4) is not in respect of taxes, a fine or a penalty, (5) is not inconsistent with a Cayman Islands judgment in respect of the same matter, and (6)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for overseas regulators to conduct investigation or collect evidence within China.</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Shareholder claims or regulatory investigation that are common in the United States, including securities law class actions and fraud claims,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and no entities or individuals may provide documents or materials in connection with its securities activities to the overseas without proper authorization. In addition, on February 24, 2023, the CSRC, the PRC Ministry of Finance, National Administration of State Secrets Protection and National Archives Administration of China jointly issued the Provisions on Strengthening Confidentiality and Archives Management of Overseas Securities Issuance and Listing by Domestic Enterprises, which became effective on March 31, 2023. The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files or copies of important preservation value to the state and society shall be subject to corresponding procedures in accordance with the laws and regulations. While detailed interpretation of or implementation rules under the provisions and Article 177 of the PRC Securities Law have yet to be available, the inability for an overseas securities regulator to directly conduct investigation or evidence collection activities within China may further increase difficulties faced by investors in protecting your interests. See also “</w:t>
      </w:r>
      <w:r>
        <w:rPr>
          <w:rFonts w:ascii="Times New Roman" w:cs="Times New Roman" w:eastAsia="Times New Roman" w:hAnsi="Times New Roman"/>
          <w:sz w:val="17"/>
          <w:szCs w:val="17"/>
          <w:i w:val="1"/>
          <w:iCs w:val="1"/>
          <w:color w:val="auto"/>
        </w:rPr>
        <w:t>—Risks Related to the ADSs—You may face difficulties in protecting your interests, and your ability to protect your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rights through U.S. courts may be limited, because we are incorporated under Cayman Islands law</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Changes in international trade policies and rising political tensions, particularly between the U.S. and China, may adversely impact our business and operating results.</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There have been changes in international trade policies and rising political tensions, particularly between the U.S. and China, but also as a result of the conflict in Ukraine and sanctions on Russia. The U.S. government has made statements and taken certain actions that may lead to potential changes to U.S. and international trade policies towards many countries, including China. For example, export controls, economic and trade sanctions have been threatened and/or imposed by the U.S. government on a number of Chinese technology companies. The United States has also threatened to impose further export controls, sanctions, trade embargoes, and other heightened regulatory requirements on China and Chinese companies for alleged activities both inside and outside of China. Against this backdrop, China has implemented, and may further implement, measures in response to the changing trade policies, treaties, tariffs and sanctions and restrictions against Chinese companies initiated by the U.S. government. For example, the Ministry of Commerce of China published Rules on Counteracting Unjustified Extra-Territorial Application of Foreign Legislation and Other Measures in January 2021 to counter restrictions imposed by foreign countries on Chinese citizens and companies.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48" w:lineRule="auto"/>
        <w:rPr>
          <w:sz w:val="20"/>
          <w:szCs w:val="20"/>
          <w:color w:val="auto"/>
        </w:rPr>
      </w:pPr>
      <w:r>
        <w:rPr>
          <w:rFonts w:ascii="Times New Roman" w:cs="Times New Roman" w:eastAsia="Times New Roman" w:hAnsi="Times New Roman"/>
          <w:sz w:val="17"/>
          <w:szCs w:val="17"/>
          <w:color w:val="auto"/>
        </w:rPr>
        <w:t>We are monitoring policies in the United States that are aimed at restriction U.S. persons from investing in certain Chinese companies and/or imposing sanctions on Chinese entities. The United States and various foreign governments have imposed controls, license requirements and restrictions on the import or export of technologies and products (or voiced the intention to do so). For instance, in October 2022, the Bureau of Industry and Security (BIS) of the U.S. Department of Commerce issued rules aimed at restricting China’s ability to obtain advanced computing chips, develop and maintain supercomputers and manufacture advanced semiconductors. On August 9, 2023, the Biden administration released an executive order directing the U.S. Department of the Treasury to create an outbound FDI review program that will require reporting on or (in more narrow circumstances) will prohibit investments by U.S. persons involving “covered national security technologies and products.” On June 21, 2024, the U.S. Department of the Treasury issued a notice of proposed rulemaking on outbound U.S. investment involving China that generally follows the advanced notice of proposed rulemaking. On October 28, 2024, the U.S. Department of the Treasury issued a final rule imposing restrictions on U.S. outbound investment in Chinese companies active in developing certain national security technologies. The final rule took effect on January 2, 2025. The final rule targets investments involving persons and entities associated with “countries of concern,” currently limited to China, and it imposes investment prohibition and notification requirements on a wide range of investments in companies engaged in activities relating to three sectors: (i) semiconductors and microelectronics, (ii) quantum information technologies, and (iii) artificial intelligence systems, with persons from countries of concern engaged in these technologies defined as “covered foreign persons.” Investments by U.S. persons subject to the final rule, which are defined as “covered transactions,” include acquisition of equity or a contingent equity interest, provision of certain debt financing, conversion of contingent equity interest into equity interest, involvement in greenfield or brownfield investment, entrance into a joint venture, and acquisition of a limited partner interest in non-U.S. pooled investment fund. The final rule excludes some investments from the scope of “covered transactions,” including those in publicly traded securities listed on a national stock exchange. The final rule is aimed at exerting greater U.S. government oversight over U.S. direct and indirect investments involving China, and may introduce new hurdles and uncertainties for cross-border collaborations, investments, and funding opportunities of China-based companies. We do not believe we would be defined as “covered foreign person” under the final rule, because we do not engage in a “covered activity” (as defined in the final rule) or otherwise meet the definition of “covered foreign person” provided in the final rule. However, there is no assurance that the U.S. Department of the Treasury will take the same view as ours. If we were to be deemed a “covered foreign person,” and if U.S. persons engaged in a “covered transaction” that involves the acquisition of our equity interests, such U.S. persons may be prohibited to do so or may need to make a notification, as applicable pursuant to the final rule. In addition, our ability to raise capital or contingent equity capital from U.S. investors may be limited due to the final rule and other similar laws, regulations and policies, given that relevant laws, regulations, and policies continue to evolve and we cannot rule out the possibility of being deemed a covered foreign person in the future due to different views taken by the U.S. Department of Treasury, potential amendments to the final rule or the introduction of similar regulations. If our ability to raise such capital is significantly and negatively affected, it could be detrimental to our business, financial condition and prospects.</w:t>
      </w:r>
    </w:p>
    <w:p>
      <w:pPr>
        <w:spacing w:after="0" w:line="19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December 18, 2025, the Comprehensive Outbound Investment National Security Act of 2025, or the COINS Act, was signed into law. The COINS Act will keep the core of the final rule while expanding its scope and coverage and clearly including underwriting services as an exception and amending certain key definitions such as “covered foreign person.” The COINS Act will not take effect until the Department of Treasury issues new regulations (subject to notice and comment), which it must do by March 13, 2027, providing Department of Treasury with the opportunity to further amend or expand existing prohibitions and restrictions in accordance with the COINS Act. In the meantime, the existing final rule will remain in effect. The content of the implementation regulations remain uncertain. If our ability to raise such capital is significantly and negatively affected, it could be detrimental to our business, financial condition and prospects, and our ADSs may significantly decline in value.</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Rising trade and political tensions could reduce levels of trade, investments, technological exchanges and other economic activities between China and other countries, which would have an adverse effect on global economic conditions, the stability of global financial markets, and international trade policies. We begin to expand our business internationally. Any unfavorable government policies on international trade or any restriction on Chinese companies may affect consumer demand for our products and service, impact our competitive position, or prevent us from being able to conduct business in certain countries. In addition, our results of operations could be adversely affected if any such tensions or unfavorable government trade policies harm the Chinese economy or the global economy in general.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55"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and substantial management of the business, productions, personnel, accounts and properties of an enterprise. In 2009, the State Administration of Taxation, or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where senior management personnel and departments that are responsible for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believe that we are not a PRC resident enterprise for PRC tax purposes. See “</w:t>
      </w:r>
      <w:r>
        <w:rPr>
          <w:rFonts w:ascii="Times New Roman" w:cs="Times New Roman" w:eastAsia="Times New Roman" w:hAnsi="Times New Roman"/>
          <w:sz w:val="17"/>
          <w:szCs w:val="17"/>
          <w:i w:val="1"/>
          <w:iCs w:val="1"/>
          <w:color w:val="auto"/>
        </w:rPr>
        <w:t>Item 4. Information on the Company—B. Business Overview—Regulations—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Regulations on Tax—PRC enterprise income tax</w:t>
      </w:r>
      <w:r>
        <w:rPr>
          <w:rFonts w:ascii="Times New Roman" w:cs="Times New Roman" w:eastAsia="Times New Roman" w:hAnsi="Times New Roman"/>
          <w:sz w:val="17"/>
          <w:szCs w:val="17"/>
          <w:color w:val="auto"/>
        </w:rPr>
        <w:t>.” However, the tax resident status of an enterprise is subject to determination by the PRC tax authorities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uncertainties remain with respect to the interpretation of the term “de facto management body.” If the PRC tax authorities determine that we are a PRC resident enterprise for enterprise income tax purposes, we may be required to withhold a 10% withholding tax, unless a reduced rate is available under an applicable tax treaty, from dividends we pay to our shareholders that are nonresident enterprises, including the holders of our ADSs. In addition, non-resident enterprise shareholders (including our ADS holders) may be subject to PRC tax on gains realized on the sale or other disposition of ADSs or ordinary shares, if such income is treated as sourced from within the PRC. Furthermore, if we are deemed a PRC resident enterprise, dividends payable to our non-PRC individual shareholders (including our ADS holders) and any gain realized on the transfer of ADSs or ordinary shares by such shareholders may be subject to PRC tax at a rate of 20% unless a reduced rate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uncertainty with respect to indirect transfers of equity interests in PRC resident enterprises by their non-PRC holding companies.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February 3, 2015, the State Administration of Taxation issued a Public Notice Regarding Certain Corporate Income Tax Matters on Indirect Transfer of Properties by Non-Tax Resident Enterprises. Pursuant to this notice, where a non-resident enterprise transfers taxable assets indirectly by disposing of the equity interests of an overseas holding company, which is an Indirect Transfer, the non-resident enterprise, being the transferor, or the transferee, or the PRC entity that directly owns the taxable assets, may report such Indirect Transfer to the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 However, according to the aforesaid safe harbor rule, the PRC tax would not be applicable to the transfer by any non-resident enterprise of ADSs of the Company acquired and sold on public securities markets.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October 17, 2017, the State Administration of Taxation issued a Public Notice of the State Administration of Taxation on Issues Concerning the Withholding of Non-resident Enterprise Income Tax at Source, which clarifies the tax withholding methods in respect of income of non-resident enterprises In addition, this notice abolished certain provisions stipulated in the Public Notice Regarding Certain Corporate Income Tax Matters on Indirect Transfer of Properties by Non-Tax Resident Enterprises. Where the non-resident enterprise fails to declare the tax payable pursuant to Article 39 of the PRC Enterprise Income Tax Law, the tax authority may order it to pay the tax due within required time limits, and the non-resident enterprise shall declare and pay the tax payable within such time limits specified by the tax authority; however, if the non-resident enterprise voluntarily declares and pays the tax payable before the tax authority orders it to do so within required time limits, it shall be deemed that such enterprise has paid the tax in time.</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the notices mentioned above. For transfer of shares in our company by investors who are non-PRC resident enterprises, our PRC subsidiaries may be requested to assist in the filing under these notices. As a result, we may be required to expend valuable resources to comply with these notices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our preferential tax treatments are revoked, become unavailable or if the calculation of our tax liability is successfully challenged by the PRC tax authorities, we may be required to pay tax, interest and penalties in excess of our tax provisions, and our results of operations could be materially and adversely affected.</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PRC government has provided various tax incentives to our certain subsidiary. These incentives include reduced enterprise income tax rates. For example, under the PRC Enterprise Income Tax Law and its implementation rules, the statutory enterprise income tax rate is 25%. However, enterprises which obtained a new software enterprise certification were entitled to an exemption of enterprise income tax for the first two years and a 50% reduction of enterprise income tax for the subsequent three years, commencing from the first profit-making year. In addition, the income tax of an enterprise that has been determined to be a high and new technology enterprise can be reduced to a preferential rate of 15%. Guangdong Lizi has obtained High and New Technology Enterprise status since December 1, 2020, and is thus eligible to enjoy a preferential tax rate of 15% for the periods presented and within the validity period of its High and New Technology Enterprise status, to the extent it has taxable income under the PRC Enterprise Income Tax Law. Any increase in the enterprise income tax rate applicable to our PRC subsidiaries or VIEs in China, or any discontinuation or retroactive or future reduction of any of the preferential tax treatments currently enjoyed by our PRC subsidiaries or VIEs in China, could adversely affect our business, financial condition and results of operations. In addition, in the ordinary course of our business, we are subject to complex income tax and other tax regulations and significant judgment is required in the determination of a provision for income taxes. Although we believe our tax provisions are reasonable, if the PRC tax authorities successfully challenge our position and we are required to pay tax, interest and penalties in excess of our tax provisions, our financial condition and results of operations would be materially and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PRC regulations may make it more difficult for us to pursue growth through acquisitions.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Regulations on Mergers and Acquisitions of Domestic Enterprises by Foreign Investors, adopted by six PRC regulatory agencies in 2006 and amended by Ministry of Commerce in 2009, and other regulations and rules concerning mergers and acquisitions, such as the Anti-Monopoly Law last amended on June 24, 2022 and becoming effective on August 1, 2022, the Rules of the State Council on Declaration Threshold for Concentration of Undertakings last amended on December 29, 2023 and becoming effective on January 22, 2024 and the Provisions on the Review of Concentrations of Undertakings issued on March 10, 2023 and becoming effective on April 15, 2023, established additional procedures and requirements that could make merger and acquisition activities by foreign investors more time-consuming and complex. These regulations require, among other things, that the Ministry of Commerce be notified in advance of any change-of-control transaction in which a foreign investor acquires control of a PRC domestic enterprise or a foreign company with substantial PRC operations, if certain thresholds under the Rules of the State Council on Declaration Threshold for Concentration of Undertakings were triggered. See “</w:t>
      </w:r>
      <w:r>
        <w:rPr>
          <w:rFonts w:ascii="Times New Roman" w:cs="Times New Roman" w:eastAsia="Times New Roman" w:hAnsi="Times New Roman"/>
          <w:sz w:val="17"/>
          <w:szCs w:val="17"/>
          <w:i w:val="1"/>
          <w:iCs w:val="1"/>
          <w:color w:val="auto"/>
        </w:rPr>
        <w:t>Item 4. Information on the Company—B.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Overview—Regulations—Regulations on M&amp;A rules and overseas listings</w:t>
      </w:r>
      <w:r>
        <w:rPr>
          <w:rFonts w:ascii="Times New Roman" w:cs="Times New Roman" w:eastAsia="Times New Roman" w:hAnsi="Times New Roman"/>
          <w:sz w:val="17"/>
          <w:szCs w:val="17"/>
          <w:color w:val="auto"/>
        </w:rPr>
        <w:t>.” Moreover, the PRC Anti-Monopoly Law requires that transactions which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deemed concentrations and involve parties with specified turnover thresholds must be cleared by the Ministry of Commerce before they can be completed. In addition, the Provisions of Ministry of Commerce on Implementation of Security Review System for Mergers and Acquisitions of Domestic Enterprises by Foreign Investors effective in September 2011 and the Measures for the Security Review of Foreign Investment effective in January 2021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laws and regulations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5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are a holding company, and we rely on dividends and other distributions on equity paid by our PRC subsidiaries for our cash and financing requirements, including the funds necessary to pay dividends and other cash distributions to our shareholders and service any debt we may incur. If any of our PRC subsidiaries incurs debt on its own behalf in the future, the instruments governing the debt may restrict its ability to pay dividends or make other distributions to us. In addition, the PRC tax authorities may require our PRC subsidiaries to adjust its taxable income under the contractual arrangements it currently has in place with the VIEs in a manner that would materially and adversely affect their ability to pay dividends and other distributions to us. See “—Risks Related to Our Corporate Structure— Contractual arrangements in relation to our VIEs may be subject to scrutiny by the PRC tax authorities and they may determine that we or our VIEs owe additional taxes, which could negatively affect our financial condition and the value of your investment.”</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Under PRC laws and regulations, our PRC subsidiaries, as wholly foreign-owned enterprises in China, may pay dividends only out of its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employee benefits and bonus funds. These reserve funds and employee benefits and bonus funds are not distributable as cash dividends.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SAFE issued the Notice of the State Administration of Foreign Exchange on Further Improving and Adjusting the Policy for Foreign Exchange Control of Capital Accounts, or Circular 2, on January 10, 2014, which provides that offshore Renminbi loans provided by a domestic enterprise to offshore enterprises that it holds equity interests in shall not exceed 30% of such equity interests. Circular 2 may constrain our PRC subsidiaries’ ability to provide offshore loans to us. In addition, the People’s Bank of China and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our PRC subsidiaries’ dividends and other distributions may be subject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July 2014, the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purposes) to register with the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Under SAFE Circular 37, PRC residents who make, or have prior to the implementation of SAFE Circular 37 made, direct or indirect investments in offshore special purpose vehicles, or SPVs, are required to register such investments with the SAFE or its local branches. In addition, any PRC resident who is a direct or indirect shareholder of an SPV, is required to update its filed registration with the local branch of the SAFE with respect to that SPV, to reflect any material change. Moreover, any subsidiary of such SPV in China is required to urge the PRC resident shareholders to update their registration with the local branch of the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effective on June 1, 2015, which mandates that applications for foreign exchange registration of inbound foreign direct investments and outbound overseas direct investments, including those required under SAFE Circular 37, are required to be filed with qualified banks instead of the SAFE. The qualified banks will directly examine the applications and accept registrations under the supervision of the SAFE.</w:t>
      </w:r>
    </w:p>
    <w:p>
      <w:pPr>
        <w:spacing w:after="0" w:line="164"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requested PRC residents who we know hold direct or indirect interest in our company to make the necessary applications, filings and registrations as required under SAFE Circular 37. However, we may not be informed of the identities of all the PRC residents holding direct or indirect interest in our company, and we cannot provide any assurance that all these PRC residents have complied or will comply with SAFE Circular No. 37 or the subsequent implementation rules to complete the applicable registrations. The failure or inability of our PRC resident shareholders to comply with the registration procedures set forth in these regulations may subject us to fines and legal sanctions, restrict our cross-border investment activities, limit the ability of our wholly foreign-owned subsidiary in China to distribute to us dividends and the proceeds from any reduction in capital, share transfer or liquidation, and we may also be prohibited from injecting additional capital into the subsidiary. Moreover, failure to comply with the various foreign exchange registration requirements described above could result in liability under PRC laws for circumventing applicable foreign exchange restrictions. As a result, our business operations and our ability to distribute profits to you could be materially and adversely affected.</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Furthermore, as these foreign exchange regulations and their interpretation and implementation has been constantly evolving, it is unclear how these regulations, and any future regulation concerning offshore or cross-border transactions, will be interpreted, amended and implemented by the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February 2012, the SAFE promulgated the Notices on Issues Concerning the Foreign Exchange Administration for Domestic Individuals Participating in Stock Incentive Plan of Overseas Publicly Listed Company. Pursuant to these rules, PRC citizens and non-PRC citizens who have resided in China for a continuous period of not less than one year are required to register with the SAFE through a domestic qualified agent, which could be the PRC subsidiary of such overseas-listed company, and complete certain other procedures if they participate in any stock incentive plan of an overseas publicly listed company, unless certain exceptions are available. In addition, an overseas-entrusted institution must be retained to handle matters in connection with the exercise or sale of stock options and the purchase or sale of shares and interests. We and our executive officers and other employees who are PRC citizens or non-PRC citizens living in the PRC for a continuous period of not less than one year and have been granted options are subject to these regulations. Failure to complete the SAFE registrations may result in fines of up to RMB300,000 for entities, or up to RMB50,000 for individuals,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laws. See “</w:t>
      </w:r>
      <w:r>
        <w:rPr>
          <w:rFonts w:ascii="Times New Roman" w:cs="Times New Roman" w:eastAsia="Times New Roman" w:hAnsi="Times New Roman"/>
          <w:sz w:val="17"/>
          <w:szCs w:val="17"/>
          <w:i w:val="1"/>
          <w:iCs w:val="1"/>
          <w:color w:val="auto"/>
        </w:rPr>
        <w:t>Item 4. Information on the Company—B. Business Overview—Regulations—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Regulations on employee share incentive plan of overseas publicly listed company</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make adequate contributions to various government-sponsored employee benefits plans as required by PRC regulations may subject us to penalties.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employees up to a maximum amount specified by the local government from time to time at locations where our employees are based. The requirements of employee benefit plans have not been implemented consistently by the local governments in China given the different levels of economic development in different locations. We have paid the social insurance and housing fund contributions for all of our employees, though the amount of such social insurance or housing fund contributions we paid for certain employees was lower than the requirements of the PRC regulations. If local authorities determine that we failed to make adequate contributions to any employee benefits as required by the PRC regulations, we may face late fees or fines in relation to the underpaid employee benefits. In addition, our provision for these liabilities may not be adequate, particularly in light of the recent tightening regulations. As a result, our financial condition and results of operations may be materially and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certain risks relating to the real properties that we lease.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lease real properties from third parties primarily for our office use in China, and none of our lease agreements for these properties has been registered with the PRC governmental authorities as required by PRC laws.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each lease agreement that has not been registered with the PRC governmental authorities.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ownership certificate or other similar proof of one of our leased properties has not been provided to us by the lessor. Therefore, we cannot assure you that such lessor is entitled to lease the relevant real properties to us. If the lessor is not entitled to lease the real properties to us and the owner of such real properties decline to ratify the lease agreements between us and the respective lessor, we may not be able to enforce our rights to lease such properties under the lease agreement against the owner. As of December 31, 2025, we are not aware of any claim or challenge brought by any third parties concerning our use of leased properties. If our lease agreements are claimed as null and void by third parties who are the real owners of such leased real properties, we could be required to vacate the properties, in which event we could only initiate claims against the lessors under relevant lease agreements for losses resulting from indemnities for their breach of the relevant leasing agreements. We cannot assure you that suitable alternative locations are readily available on commercially reasonable terms, or at all, and if we are unable to relocate our officers in a timely manner, our operations may be interrupted.</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our securities offering to make loans or additional capital contributions to our PRC subsidiaries, which could materially and adversely affect our liquidity and our ability to fund and expand our business.</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are an offshore holding company conducting our operations in China through our PRC subsidiaries and VIEs. We may make loans to our PRC subsidiaries and VIEs subject to the approval from or registration with governmental authorities and limitation on amount, or we may make additional capital contributions to our wholly foreign-owned subsidiary in China. Any loans to our wholly foreign-owned subsidiary in China, which are treated as foreign-invested enterprises under PRC laws, are subject to foreign exchange loan registrations. In addition, a foreign-invested enterprise shall use its capital pursuant to the principle of authenticity and self-use within its business scope. According to the PRC regulations on foreign-invested enterprises in China, capital contributions to our PRC subsidiaries are subject to the requirement of making necessary filings or reports in the Foreign Investment Comprehensive Management Information System, and registration with a local bank authorized by SAFE. Any medium or long-term loan to be provided by us to our consolidated affiliated entities must be filed with the National Development and Reform Commission and recorded by SAFE or its local branches through the online filing system of SAFE pursuant to applicable PRC regulations.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Circular on Reforming the Administration Measures on Conversion of Foreign Exchange Registered Capital of Foreign-invested Enterprises, which was issued by the SAFE and was most recently amended on March 23, 2023, allows for the use of RMB converted from the foreign currency-denominated capital for equity investments in the PRC, provided that such usage shall fall into the scope of business of the foreign-invested enterprise, which will be regarded as the reinvestment of foreign-invested enterprise. In addition, the Circular Regarding Further Promotion of the Facilitation of Cross-Border Trade and Investment, which was promulgated by the SAFE and was most recently amended on December 4, 2023, allows foreign-invested enterprises whose business scope does not include investment, or non-investment foreign-invested enterprises, to use their capital funds to make equity investments in China, subject to certain conditions. Pursuant to the Circular of the State Administration of Foreign Exchange on Matters Concerning Deepening the Reform of Foreign Exchange Administration for Cross-Border Investment and Financing, which was promulgated on September 12, 2025 by the SAFE and came into effect on September 12, 2025, foreign-invested enterprises (including non-investment foreign-invested enterprises) are explicitly permitted to use their foreign exchange registered capital and the RMB converted therefrom for domestic reinvestment, without the need to complete the registration of basic information on receiving domestic reinvestment by the invested enterprise or the equity transferor, on the premise that such reinvestment does not violate the special administrative measures for foreign investment access and the domestic invested projects are true and compliant.</w:t>
      </w:r>
    </w:p>
    <w:p>
      <w:pPr>
        <w:spacing w:after="0" w:line="17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light of the various requirements imposed by PRC regulations on loans to and direct investment in PRC entities by offshore holding companies, we cannot assure you that we will be able to complete the necessary government registrations or filings or obtain the necessary government approvals on a timely basis, if at all, with respect to future loans by us to our PRC subsidiaries or VIEs or with respect to future capital contributions by us to our PRC subsidiaries. If we fail to complete such registrations or obtain such approvals, our ability to use the proceeds from our securities offering and to capitalize or otherwise fund our PRC operations may be negatively affected, which could materially and adversely affect our liquidity and our ability to fund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exchange rates could have a material adverse effect on our results of operations and the value of your investment.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our securities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Governmental control of currency conversion may limit our ability to utilize our cash balance effectively and affect the value of your investment.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PRC government imposes controls on the convertibility of the Renminbi into foreign currencies and, in certain cases, the remittance of currency out of China. We receive substantially all of our net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the SAFE by complying with certain procedural requirements. Specifically, under the existing exchange restrictions, without prior approval of the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the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approval of and filing with the CSRC or other PRC government authorities may be required if we were to conduct offshore offerings in the future, and, if required, we cannot predict whether or for how long we will be able to obtain such approval or complete such filing.</w:t>
      </w:r>
    </w:p>
    <w:p>
      <w:pPr>
        <w:spacing w:after="0" w:line="15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Regulations on Mergers and Acquisitions of Domestic Enterprises by Foreign Investors, which were adopted by six PRC regulatory agencies in 2006 and amended by Ministry of Commerce in 2009, require an overseas special purpose vehicle formed for listing purposes through acquisitions of PRC domestic companies and controlled by PRC persons or entities to obtain the approval from the CSRC prior to the listing and trading of such special purpose vehicle’s securities on an overseas stock exchange. The interpretation and application of the regulations are subject to further clarification,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7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February 17, 2023, the CSRC promulgated the Trial Measures for Overseas Listing effective on March 31, 2023. According to the Trial Measures for Overseas Listing, PRC domestic companies that seek to offer and list securities in overseas markets, either in direct or indirect means, are required to fulfill the filing procedure with and report relevant information to the CSRC. See “</w:t>
      </w:r>
      <w:r>
        <w:rPr>
          <w:rFonts w:ascii="Times New Roman" w:cs="Times New Roman" w:eastAsia="Times New Roman" w:hAnsi="Times New Roman"/>
          <w:sz w:val="17"/>
          <w:szCs w:val="17"/>
          <w:i w:val="1"/>
          <w:iCs w:val="1"/>
          <w:color w:val="auto"/>
        </w:rPr>
        <w:t>Item 4. Information on the Company—B. Business Overview—Regulations—Regulations on M&amp;A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rules and overseas listings</w:t>
      </w:r>
      <w:r>
        <w:rPr>
          <w:rFonts w:ascii="Times New Roman" w:cs="Times New Roman" w:eastAsia="Times New Roman" w:hAnsi="Times New Roman"/>
          <w:sz w:val="17"/>
          <w:szCs w:val="17"/>
          <w:color w:val="auto"/>
        </w:rPr>
        <w:t>” for details. In the event that a PRC domestic company fails to fulfill the filing procedure or conceals any material fact or falsifies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major content in its filing documents, this domestic company may be subject to administrative penalties, such as orders to rectify, warnings, fines, and its controlling shareholders, actual controlling beneficial owners, the person directly in charge and other directly liable persons may also be subject to administrative penalties, such as warnings and fines. The CSRC also held a press conference and clarified that even though PRC domestic companies already listed overseas on or prior to March 31, 2023, the effective date of the Trial Measures for Overseas Listing, shall be deemed as existing issuers and are not required to complete the filling procedures immediately, they shall still be required to file with the CSRC when subsequent matters such as refinancing are involved. Therefore, we are deemed as existing issuers according to the measures, and are required to file with the CSRC for our refinancing activities as required by the measures.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addition, pursuant to the Provisions on Strengthening Confidentiality and Archives Management of Overseas Securities Issuance and Listing by Domestic Enterprises, which was released on February 24, 2023 and became effective on March 31, 2023, PRC domestic enterprises seeking to offer and list securities in overseas markets, either directly or indirectly, shall establish and improve the system of confidentiality and archives work, and shall complete approval and filing procedures with competent authorities, if such PRC domestic enterprises or their overseas listing entities provide or publicly disclose documents or materials involving state secrets and work secrets of state organs to relevant securities companies, securities service institutions, overseas regulatory agencies and other entities and individuals. See “</w:t>
      </w:r>
      <w:r>
        <w:rPr>
          <w:rFonts w:ascii="Times New Roman" w:cs="Times New Roman" w:eastAsia="Times New Roman" w:hAnsi="Times New Roman"/>
          <w:sz w:val="17"/>
          <w:szCs w:val="17"/>
          <w:i w:val="1"/>
          <w:iCs w:val="1"/>
          <w:color w:val="auto"/>
        </w:rPr>
        <w:t>Item 4. Information on the Company—B. Business Overview—Regulations—Regulations on M&amp;A rules and overseas listings</w:t>
      </w:r>
      <w:r>
        <w:rPr>
          <w:rFonts w:ascii="Times New Roman" w:cs="Times New Roman" w:eastAsia="Times New Roman" w:hAnsi="Times New Roman"/>
          <w:sz w:val="17"/>
          <w:szCs w:val="17"/>
          <w:color w:val="auto"/>
        </w:rPr>
        <w:t>” for details. The Trial Measures for Overseas Listing and the Provisions on Strengthening the Confidentiality and Archives Administration Concerning the Overseas Securities Offering and Listing of by Domestic Enterprises are subject to further implementation and interpretation, and there remains uncertainties as to how these provisions will affect our listing status and future financing. If we fail to complete the filing with or approval of the CSRC or other PRC government authorities in a timely manner or at all, for any future offering or any other activities which are subject to the filing or approval requirements under the aforesaid provisions, our ability to raise or utilize funds and our financial conditions, business operation, and business prospect may be adversely and materially affected.</w:t>
      </w:r>
    </w:p>
    <w:p>
      <w:pPr>
        <w:spacing w:after="0" w:line="181"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In addition, we cannot assure you that any new rules or regulations promulgated in the future will not impose additional requirements on us. If it is determined in the future that approval from or filing with the CSRC or other regulatory authorities or other procedures, including the cybersecurity review under the Cybersecurity Review Measures, are required if we were to conduct offshore offerings, it is uncertain whether we can or how long it will take us to obtain such approval or complete such filing procedures. If we were to conduct offshore offerings and fail to obtain such approval or filing procedures, or such approval or filing, if obtained by us, were to be rescinded, we would be subject to sanctions by the CSRC or other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ADSs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the ADSs is likely to be volatile, which could result in substantial losses to investors.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trading price of our ADSs is likely to be volatile and could fluctuate widely due to factors beyond our control. This may happen because of broad market and industry factors, including overall market volatility and the performance and fluctuation of the market prices of other companies with business operations located mainly in China that have listed their securities in the United States. In addition to market and industry factors, the price and trading volume for our ADSs may be highly volatile for factors specific to our own operations, including the following:</w:t>
      </w:r>
    </w:p>
    <w:p>
      <w:pPr>
        <w:spacing w:after="0" w:line="175" w:lineRule="exact"/>
        <w:rPr>
          <w:sz w:val="20"/>
          <w:szCs w:val="20"/>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net revenues, earnings and cash flow;</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investments, acquisitions, strategic partnerships, or joint ventures by us or our competitors;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and services and expansions by us or our competitors;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analysts;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on our part to realize monetization opportunities as expected;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revenues generated from our significant business partners;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of lock-up or other transfer restrictions on our outstanding equity securities or sales of additional equity securities;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negative publicity about us, our management, our competitors or our industry;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us or our industry;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litigation or regulatory investigations.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Any of these factors may result in large and sudden changes in the trading volume and price of the ADSs.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dual-class share structure with different voting rights will limit your ability to influence corporate matters (and in certain situations, give certain holders of Class B ordinary shares control over the outcome of matters put to a vote of shareholders) and could discourage others from pursuing any change of control transactions that holders of our Class A ordinary shares and ADSs may view as beneficial.</w:t>
      </w:r>
    </w:p>
    <w:p>
      <w:pPr>
        <w:spacing w:after="0" w:line="16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have a dual-class share structure such that our ordinary shares consist of Class A ordinary shares and Class B ordinary shares. One of our key strengths is our visionary and professional management team led by the founder and chief executive officer Mr. Xiaoping Chen and supported by our strategic partner Xiaomi. The dual-class share structure ensures that the vision of the management team and the proven strategies can be consistently implemented. Furthermore, the dual-class structure enables us to better focus on long-term strategies by serving as effective defense against corporate actions which might not be in our long-term interest. Each Class A ordinary share shall entitle the holder thereof to one vote on all matters subject to vote at general meetings of the Company, and each Class B ordinary share shall entitle the holder thereof to ten votes on all matters subject to vote at general meetings of the Company based on our dual-class share structure. Each Class B ordinary share is convertible into one Class A ordinary share at any time at the option of the holder thereof, while Class A ordinary shares are not convertible into Class B ordinary shares under any circumstances. Upon any sale, transfer, assignment or disposition of any Class B ordinary share by Mr. Xiaoping Chen or Viomi Limited to any person who is not Mr. Xiaoping Chen or his affiliate(s), or upon a change of ultimate beneficial ownership of any Class B ordinary share to any person who is not Mr. Xiaoping Chen or his affiliate(s), such Class B ordinary share shall be automatically and immediately converted into one Class A ordinary share. Upon any sale, transfer, assignment or disposition of any Class B ordinary share by a shareholder other than Mr. Xiaoping Chen or his affiliate(s) to any person, such Class B ordinary share shall be automatically and immediately converted into one Class A ordinary share. Conversion of Class B ordinary shares to Class A ordinary shares will increase the voting power of holders of Class A ordinary shares and ADSs, while at the same time increasing the relative voting power of individual Class B ordinary shareholders who retain their shares.</w:t>
      </w:r>
    </w:p>
    <w:p>
      <w:pPr>
        <w:spacing w:after="0" w:line="187"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 result of the dual-class share structure and the concentration of ownership, Mr. Xiaoping Chen, certain of our employees and Xiaomi beneficially own all of our issued Class B ordinary shares, and they have considerable influence (and in certain situations, complete control) over matters such as decisions regarding mergers, consolidations and the sale of all or substantially all of our assets, election of directors and other significant corporate actions. Such holders may take actions that are not in the best interest of us or our other shareholders. Due to the disproportionate voting powers associated with our two classes of ordinary shares, the holders of our Class B ordinary shares and our founder, Mr. Xiaoping Chen, beneficially own 91.2% and 61.2%, respectively, of the aggregate voting power of our company as of February 28, 2026. Assuming that the Class B shareholders hold Class B ordinary shares only, the Class B shareholders only need to keep 9.1% of the outstanding shares to continue to control the outcome of matters submitted to shareholders for approval through ordinary resolutions. The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55"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sale or availability for sale, or perceived sale or availability for sale, of substantial amounts of our ADSs could adversely affect their market price.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memorandum and articles of association contain anti-takeover provisions that could have a material adverse effect on the rights of holders of our ordinary shares and ADSs.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proposed dual-class voting structure gives disproportionate voting power to the holders of our Class A and Class B ordinary shares.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vote the underlying your Class A ordinary shares represented by your ADSs.</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Holders of ADSs do not have the same rights as our registered shareholders. As a holder of our ADSs, you will not have any direct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represented by your ADSs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withdraw such shares, and become the registered holder of such shares prior to the record date for the general meeting.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 In addition, in your capacity as an ADS holder, you will not be able to call a shareholders’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Because we may not pay regular dividends in the foreseeable future, you must rely on price appreciation of the ADSs for return on your investment.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currently intend to retain our available funds and any future earnings to fund the development of our business. We do not have any present plan to pay regular cash dividends on our ordinary shares in the foreseeable future. Therefore, you should not rely on an investment in our ADSs as a source for any future dividend income.</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Pursuant to our memorandum and articles of association, 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either out of profits or share premium account, provided that in no circumstances may a dividend be paid if this would result in the company being unable to pay its debts as it falls due in the ordinary course of business. In addition, our shareholders may declare dividends by ordinary resolution, but no dividend declared shall exceed the amount recommended by our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depositary of the ADSs has agreed to pay to you the cash dividends or other distributions it or the custodian receives on ordinary shares or other deposited securities underlying the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experience dilution of your holdings due to the inability to participate in rights offerings.</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be subject to limitations on transfer of your ADSs.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books at any time or from time to time when it deems it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are an exempted company limited by shares incorporated under the laws of the Cayman Islands. Our corporate affairs are governed by our memorandum and articles of association, as amended from time to time, the Companies Act of the Cayman Islands and the common law of the Cayman Islands. The rights of shareholders to take action against the directors, actions by minority shareholders and the fiduciary duties owed to us by our directors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owed to us by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83"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or obtain register of members or corporate records (other than the memorandum and articles of association, the register of mortgages and charges and special resolutions passed by our shareholders) of these companies. Under Cayman Islands law, the names of our current directors can be obtained from a search conducted at the Registrar of Companies in the Cayman Islands.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them to motion or to solicit proxies from other shareholders in connection with a proxy contest.</w:t>
      </w:r>
    </w:p>
    <w:p>
      <w:pPr>
        <w:spacing w:after="0" w:line="16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Your rights to pursue claims against the depositary as a holder of ADSs are limited by the terms of the deposit agreement.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If you or any other holders or beneficial owners of ADSs bring a claim against us or the depositary in connection with matters arising under the deposit agreement or the ADSs, including claims under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U.S. federal securities laws in federal courts.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judgments obtained against us by our shareholders may not be enforceable.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a Cayman Islands exempted company and substantially all of our assets are located outside of the United States. Substantially almost all of our current operations are conducted in China. In addition, all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such judgments against our assets or the assets of our directors and officers are further subject to recognition and enforcement proceedings under the laws of the Cayman Islands and the laws of China.</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a Cayman Islands company listed on the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Currently, we rely on home country practice with respect to certain aspects of our corporate governance. See “Item 16G. Corporate Governance.” As a result, our shareholders may be afforded less protection than they would otherwise enjoy under the Nasdaq governance listing standards applicable to U.S. domestic issuers.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likely are a passive foreign investment company (“PFIC”) for U.S. federal income tax purposes for the taxable year ended December 31, 2025, and possibly for the current taxable year and future taxable years, which could result in adverse U.S. federal income tax consequences to U.S. Holders.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 non-U.S. corporation, such as our company, will be a PFIC for U.S. federal income tax purposes for any taxable year if either (i) at least 75% of its gross income for such year consists of certain types of “passive” income; or (ii) at least 50% of the value of its assets (generally determined on the basis of a quarterly average) during such year is attributable to assets that produce passive income or are held for the production of passive income (the “asset test”). For purposes of determining our PFIC status, we will be treated as owning a proportionate share of the assets and earning a proportionate share of the income of any other corporation in which we own, directly, indirectly, or constructively, at least 25% (by value) of its stock. Although the law in this regard is not entirely clear, we treat our consolidated VIEs as being owned by us for U.S. federal income tax purposes because we control their management decisions and are entitled to substantially all of the economic benefits associated with them, and, as a result, we consolidate their results of operations in our consolidated U.S. GAAP financial statements. If it were determined, however, that we are not the owner of the consolidated VIEs for U.S. federal income tax purposes, the risk that we are a PFIC would likely increase for the current taxable year and any subsequent taxable year. Assuming that we are the owner of our VIEs for U.S. federal income tax purposes, and based on our income and assets and the market value of our ADSs, we believe that we likely are a PFIC for the taxable year ended December 31, 2025.</w:t>
      </w:r>
    </w:p>
    <w:p>
      <w:pPr>
        <w:spacing w:after="0" w:line="183"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Because PFIC status is a factual determination made annually that will depend, in part, on the composition and nature of our income and assets, it is not possible to determine our PFIC status for the current taxable year or future taxable years until after the close of the taxable year. The value of our assets for purposes of the asset test, including the value of our goodwill and unbooked intangibles, may be determined in part by reference to the market price of our ADSs from time to time (which may be volatile). As a result, our PFIC status for the current taxable year and future taxable years may be affected by our market capitalization. Recent fluctuations in our market capitalization create a material risk that we may be a PFIC for the current taxable year and future taxable years. In addition, our PFIC status will be affected by how, and how quickly, we spend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may substantially increase. Because there are uncertainties in the application of these rules, it is possible that the Internal Revenue Service may challenge our classification of certain income or assets as non-passive, or our valuation of our goodwill and other unbooked intangibles, each of which could cause us to be a PFIC for the current or subsequent taxable years.</w:t>
      </w:r>
    </w:p>
    <w:p>
      <w:pPr>
        <w:spacing w:after="0" w:line="183"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(as defined in “Item 10. Additional Information—E. Taxation—U.S. Federal Income Tax Considerations”) holds our ADSs or ordinary shares, the U.S. Holder may be subject to certain adverse U.S. federal income tax consequences. It is also possible that any subsidiary that we own may also be classified as a PFIC for such taxable years. Additionally, if we are a PFIC for any taxable year during which U.S. Holders hold our ADSs or ordinary shares, we will generally continue to be treated as a PFIC with respect to such U.S. Holders even if we do not satisfy either of the above tests to be a PFIC in a subsequent taxable year. See “Item 10. Additional Information—E. Taxation—U.S. Federal Income Tax Considerations—Passive Foreign Investment Company Considerations.”</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INFORMATION ON THE COMPANY</w:t>
      </w:r>
    </w:p>
    <w:p>
      <w:pPr>
        <w:spacing w:after="0" w:line="208" w:lineRule="exact"/>
        <w:rPr>
          <w:sz w:val="20"/>
          <w:szCs w:val="20"/>
          <w:color w:val="auto"/>
        </w:rPr>
      </w:pPr>
    </w:p>
    <w:p>
      <w:pPr>
        <w:ind w:left="600" w:hanging="599"/>
        <w:spacing w:after="0"/>
        <w:tabs>
          <w:tab w:leader="none" w:pos="6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History and Development of the Company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commenced our operation in May 2014 to develop, design, manufacture and sell IoT products, including smart water purification systems. In July 2018, we established Guangdong Lizi, a subsidiary of Foshan Viomi, as a smart water purification system facility focusing on the research, design, production and supply of smart water purifiers and water purifier filters. Guangdong Lizi began commercial manufacturing operations in January 2019.</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October 2020, we established Zhumeng Hulian Technology (Guangdong) Co., Ltd. as a wholly-owned subsidiary of Codream HK Co., Limited, one of our subsidiaries. In November 2020, Foshan Viomi transferred all of its equity interests of Guangdong Lizi to Zhumeng Hulian Technology (Guangdong) Co., Ltd. Meanwhile, Guangdong Lizi expanded its production of smart water purification system, and expanded its business scope to include research, design, production and supply of smart sweeper robots, as well as supply of some small appliances.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In August 2024, to implement our “Focus” strategy for home water solutions, we divested our businesses and assets involving certain IoT@Home portfolio products (excluding range hoods, gas stoves, and water heaters) for a total consideration of RMB65 million in cash. Embracing the mission of “</w:t>
      </w:r>
      <w:r>
        <w:rPr>
          <w:rFonts w:ascii="Times New Roman" w:cs="Times New Roman" w:eastAsia="Times New Roman" w:hAnsi="Times New Roman"/>
          <w:sz w:val="16"/>
          <w:szCs w:val="16"/>
          <w:b w:val="1"/>
          <w:bCs w:val="1"/>
          <w:color w:val="auto"/>
        </w:rPr>
        <w:t>AI for Better water</w:t>
      </w:r>
      <w:r>
        <w:rPr>
          <w:rFonts w:ascii="Times New Roman" w:cs="Times New Roman" w:eastAsia="Times New Roman" w:hAnsi="Times New Roman"/>
          <w:sz w:val="16"/>
          <w:szCs w:val="16"/>
          <w:color w:val="auto"/>
        </w:rPr>
        <w:t>,” we strive to utilize AI technology to provide better drinking water solutions for households. As an industry-leading technology company in home water solutions in China, we have developed a distinctive “</w:t>
      </w:r>
      <w:r>
        <w:rPr>
          <w:rFonts w:ascii="Times New Roman" w:cs="Times New Roman" w:eastAsia="Times New Roman" w:hAnsi="Times New Roman"/>
          <w:sz w:val="16"/>
          <w:szCs w:val="16"/>
          <w:b w:val="1"/>
          <w:bCs w:val="1"/>
          <w:color w:val="auto"/>
        </w:rPr>
        <w:t>Equipment + Consumables</w:t>
      </w:r>
      <w:r>
        <w:rPr>
          <w:rFonts w:ascii="Times New Roman" w:cs="Times New Roman" w:eastAsia="Times New Roman" w:hAnsi="Times New Roman"/>
          <w:sz w:val="16"/>
          <w:szCs w:val="16"/>
          <w:color w:val="auto"/>
        </w:rPr>
        <w:t>” business model. To achieve this, we effect the 2024 reorganization transition by termination the contractual arrangements between Yunmi Hulian and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Zhumeng Hulian and Guangdong Interconnect have enter into a new set of contractual arrangements, as a result of which the Company has controlled Guangdong Interconnect and consolidated its financial results.</w:t>
      </w:r>
    </w:p>
    <w:p>
      <w:pPr>
        <w:spacing w:after="0" w:line="16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carry out our business though our subsidiaries and VIEs. We have two WFOEs in China, namely Lequan Technology (Beijing) Co., Ltd., or our WFOE I, and Zhumeng Hulian Technology (Guangdong) Co., Ltd., or our WFOE II, to direct the activities of our VIEs and their subsidiaries. Our WFOE I has a series of contractual arrangements with Beijing Viomi and its shareholders. Our WFOE II has a series of contractual arrangements with Guangdong Interconnect and its shareholders. Prior to the completion of the 2024 reorganization transaction, our WFOEs include WFOE I and Yunmi Hulian Technology (Guangdong) Co., Ltd., or the former WFOE. and our VIEs include Beijing Viomi and Foshan Viomi. See “—C. Organizational Structure—Contractual Arrangements with Our VIEs and Their Shareholders” below. Revenues contributed by our VIEs accounted for 88.9%, 45.0% and 0.1% of our total revenues for the years ended December 31, 2023, 2024 and 2025, respectively.</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principal executive offices are located at Wansheng Square, Rm 1302 Tower C, Xingang East Road, Haizhu District, Guangzhou, Guangdong, 510220, People’s Republic of China. Our telephone number at this address is +86 20 8930 9496. Our registered office in the Cayman Islands is located at offices of Maples Corporate Services Limited at PO Box 309, Ugland House, Grand Cayman, KY1-1104, Cayman Islands.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You can find the information that we file with the SEC on www.sec.gov. You can also find information on our website ir.viomi.com. This website is not part of this annual report.</w:t>
      </w:r>
    </w:p>
    <w:p>
      <w:pPr>
        <w:spacing w:after="0" w:line="155" w:lineRule="exact"/>
        <w:rPr>
          <w:sz w:val="20"/>
          <w:szCs w:val="20"/>
          <w:color w:val="auto"/>
        </w:rPr>
      </w:pPr>
    </w:p>
    <w:p>
      <w:pPr>
        <w:ind w:left="600" w:hanging="599"/>
        <w:spacing w:after="0"/>
        <w:tabs>
          <w:tab w:leader="none" w:pos="60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Business Overview</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Embracing the mission of “</w:t>
      </w:r>
      <w:r>
        <w:rPr>
          <w:rFonts w:ascii="Times New Roman" w:cs="Times New Roman" w:eastAsia="Times New Roman" w:hAnsi="Times New Roman"/>
          <w:sz w:val="17"/>
          <w:szCs w:val="17"/>
          <w:b w:val="1"/>
          <w:bCs w:val="1"/>
          <w:color w:val="auto"/>
        </w:rPr>
        <w:t>AI for Better water</w:t>
      </w:r>
      <w:r>
        <w:rPr>
          <w:rFonts w:ascii="Times New Roman" w:cs="Times New Roman" w:eastAsia="Times New Roman" w:hAnsi="Times New Roman"/>
          <w:sz w:val="17"/>
          <w:szCs w:val="17"/>
          <w:color w:val="auto"/>
        </w:rPr>
        <w:t>,” we strive to utilize AI technology to provide better drinking water solutions for households worldwide. As an industry-leading technology company in home water solutions, we have developed a distinctive “</w:t>
      </w:r>
      <w:r>
        <w:rPr>
          <w:rFonts w:ascii="Times New Roman" w:cs="Times New Roman" w:eastAsia="Times New Roman" w:hAnsi="Times New Roman"/>
          <w:sz w:val="17"/>
          <w:szCs w:val="17"/>
          <w:b w:val="1"/>
          <w:bCs w:val="1"/>
          <w:color w:val="auto"/>
        </w:rPr>
        <w:t>Equipment + Consumables</w:t>
      </w:r>
      <w:r>
        <w:rPr>
          <w:rFonts w:ascii="Times New Roman" w:cs="Times New Roman" w:eastAsia="Times New Roman" w:hAnsi="Times New Roman"/>
          <w:sz w:val="17"/>
          <w:szCs w:val="17"/>
          <w:color w:val="auto"/>
        </w:rPr>
        <w:t>” business model. By leveraging our expertise in AI technology, intelligent hardware and software development, we simplify filter replacement and enhances water quality monitoring, thereby increasing the filter replacement rate. Our continuous technological innovations extend filter lifespan and lower user costs, promoting the adoption of water purifiers and supporting a healthy lifestyle while effectively addressing the rising global demand for cleaner, fresher and healthier drinking water. We operate a world-leading “</w:t>
      </w:r>
      <w:r>
        <w:rPr>
          <w:rFonts w:ascii="Times New Roman" w:cs="Times New Roman" w:eastAsia="Times New Roman" w:hAnsi="Times New Roman"/>
          <w:sz w:val="17"/>
          <w:szCs w:val="17"/>
          <w:b w:val="1"/>
          <w:bCs w:val="1"/>
          <w:color w:val="auto"/>
        </w:rPr>
        <w:t>Water Purifier Gigafactory</w:t>
      </w:r>
      <w:r>
        <w:rPr>
          <w:rFonts w:ascii="Times New Roman" w:cs="Times New Roman" w:eastAsia="Times New Roman" w:hAnsi="Times New Roman"/>
          <w:sz w:val="17"/>
          <w:szCs w:val="17"/>
          <w:color w:val="auto"/>
        </w:rPr>
        <w:t>” with an integrated industrial chain that boasts optimal efficiency and facilitates continuous breakthroughs in water purification. This state-of-the-art facility enables us to achieve economies of scale and accelerate the global popularization of residential water filtration.</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business comprises of two main parts, our Viomi business, which includes our Viomi-branded products, and Non-Viomi business, which involves our strategic partnership with Xiaomi. Sales through our own and third-party channels, which constitute the vast majority of our Viomi-branded products business, accounted for 21.1%, 17.3% and 10.4% of our net revenues in 2023, 2024 and 2025, respectively. Xiaomi is our strategic partner, shareholder and customer. Our strategic partnership with Xiaomi provides us with access to Xiaomi’s ecosystem users, sales platforms and data resources and related support. Sales to Xiaomi, predominantly comprising Xiaomi-branded products, accounted for 78.9%, 82.7% and 89.6% of our net revenues in 2023, 2024 and 2025, respectively. Our strong research and development capabilities, supply chain resources and innovative products and services are able to enrich Xiaomi’s suite of offerings, resulting in a mutually beneficial relationship between Xiaomi and us.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As an industry-leading technology company for home water solutions, Viomi has consistently driven technological breakthroughs over the past decade. These innovations include:</w:t>
      </w:r>
    </w:p>
    <w:p>
      <w:pPr>
        <w:spacing w:after="0" w:line="159" w:lineRule="exact"/>
        <w:rPr>
          <w:sz w:val="20"/>
          <w:szCs w:val="20"/>
          <w:color w:val="auto"/>
        </w:rPr>
      </w:pPr>
    </w:p>
    <w:p>
      <w:pPr>
        <w:ind w:left="900" w:hanging="294"/>
        <w:spacing w:after="0" w:line="274"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Tankless large-flux water purifier: provides fresh drinking water 24/7, with a water flux up to 2000G, expanding the usage scenario of water purification from drinking to cooking, washing vegetables, and more.</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Advancements in ERO electrodialysis and mineralization filter technologies: Allow Viomi to offer a range of water solutions, from pure water to natural mineral water, promoting a new trend of healthy living.</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Integrated functions: Viomi has evolved from single-function filtration to integrated functions such as instant heating, cooling, and ice-making, meeting diverse global drinking needs.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offer a wide range of products covering various home scenarios, from kitchen to living room and whole-house, comprehensively addressing the increasing global demand for cleaner, fresher and healthier drinking water. With our unwavering commitment to bring smarter products and solutions to consumers, we ranked the 439th in the 21st edition of “2024 China’s Top 500 Brands” list released by World Brand Lab on June 19, 2024, with a brand value of approximately RMB15.3 billion.</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May 2025, we launched Kunlun 4 Pro Alkaline Mineral Water purifier, this next-generation water purifier harnesses AI technology to replicate the natural mineral water formation process, aiming to elevate household drinking water from the era of “pure water” to the new era of “pure mineral water,” and offering a solution for families seeking mineral-rich drinking water at home. In September 2025, we launched Master 1 mineral water purifier on Amazon. This product is equipped with 9-stage precision filtration and an AI-powered interactive faucet, further enriching our product portfolio. In October 2025, we launched the Inno mineral water dispenser in Malaysia, tailored for the local market and featuring both mineralization and cooling functions. In December 2025, we unveiled “Leader” whole-house series for domestic offline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platform</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unique platform consists of innovative home water systems, consumables, and kitchen appliances and others.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Prior to our 2024 reorganization transaction, we grouped our products into four business lines, including IoT@Home portfolio products, home water solutions, consumables and small appliances and others. After the divestment of our “divested IoT@Home business in 2024, we re-grouped our products to better reflect our “Focus” strategy for home water solutions.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Currently, our products are grouped under the following three business lines: “home water systems,” which mainly are composed of our smart water purification products, water heaters, smart water kettles, and electric kettles, among others “consumables,” which consist of our consumable products that mainly include a range of water filters for our smart water purifiers, and “kitchen appliances and others,” which refer to range hoods, gas stoves, and other small appliances, as well as product installation services and rental services.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Specifically, water heaters, smart water kettles which were previously grouped under IoT@Home portfolio products, have been re-grouped to home water systems. Electric kettles, which were previously grouped under small appliances and others, have been also re-grouped to home water systems. Range hoods, gas stoves, and other small appliances, which were previously grouped under IoT@Home portfolio products, have been re-grouped to kitchen applicants and others.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6"/>
              </w:rPr>
              <w:t>Table of Contents</w:t>
            </w:r>
          </w:p>
        </w:tc>
        <w:tc>
          <w:tcPr>
            <w:tcW w:w="2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1"/>
        </w:trPr>
        <w:tc>
          <w:tcPr>
            <w:tcW w:w="8180" w:type="dxa"/>
            <w:vAlign w:val="bottom"/>
            <w:gridSpan w:val="8"/>
          </w:tcPr>
          <w:p>
            <w:pPr>
              <w:ind w:left="600"/>
              <w:spacing w:after="0"/>
              <w:rPr>
                <w:sz w:val="20"/>
                <w:szCs w:val="20"/>
                <w:color w:val="auto"/>
              </w:rPr>
            </w:pPr>
            <w:r>
              <w:rPr>
                <w:rFonts w:ascii="Times New Roman" w:cs="Times New Roman" w:eastAsia="Times New Roman" w:hAnsi="Times New Roman"/>
                <w:sz w:val="17"/>
                <w:szCs w:val="17"/>
                <w:color w:val="auto"/>
              </w:rPr>
              <w:t>The table below sets forth the revenue contribution of our key business lines after the product recategorization:</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1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1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1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RMB</w:t>
            </w: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RMB</w:t>
            </w: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RMB</w:t>
            </w: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US$</w:t>
            </w: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r>
      <w:tr>
        <w:trPr>
          <w:trHeight w:val="194"/>
        </w:trPr>
        <w:tc>
          <w:tcPr>
            <w:tcW w:w="1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60" w:type="dxa"/>
            <w:vAlign w:val="bottom"/>
            <w:gridSpan w:val="4"/>
          </w:tcPr>
          <w:p>
            <w:pPr>
              <w:jc w:val="right"/>
              <w:ind w:right="416"/>
              <w:spacing w:after="0" w:line="194" w:lineRule="exact"/>
              <w:rPr>
                <w:sz w:val="20"/>
                <w:szCs w:val="20"/>
                <w:color w:val="auto"/>
              </w:rPr>
            </w:pPr>
            <w:r>
              <w:rPr>
                <w:rFonts w:ascii="Times New Roman" w:cs="Times New Roman" w:eastAsia="Times New Roman" w:hAnsi="Times New Roman"/>
                <w:sz w:val="17"/>
                <w:szCs w:val="17"/>
                <w:b w:val="1"/>
                <w:bCs w:val="1"/>
                <w:color w:val="auto"/>
              </w:rPr>
              <w:t>(in thousands, except for percentages)</w:t>
            </w: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Home water systems</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1,077,858</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65.8</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1,498,368</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70.7</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1,686,566</w:t>
            </w: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241,176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69.5</w:t>
            </w:r>
          </w:p>
        </w:tc>
      </w:tr>
      <w:tr>
        <w:trPr>
          <w:trHeight w:val="20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Consumables</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324,738</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19.8</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277,704</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13.1</w:t>
            </w:r>
          </w:p>
        </w:tc>
        <w:tc>
          <w:tcPr>
            <w:tcW w:w="10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235,388</w:t>
            </w: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33,660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w:t>
            </w:r>
          </w:p>
        </w:tc>
      </w:tr>
      <w:tr>
        <w:trPr>
          <w:trHeight w:val="240"/>
        </w:trPr>
        <w:tc>
          <w:tcPr>
            <w:tcW w:w="360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Kitchen appliances and others</w:t>
            </w:r>
            <w:r>
              <w:rPr>
                <w:rFonts w:ascii="Times New Roman" w:cs="Times New Roman" w:eastAsia="Times New Roman" w:hAnsi="Times New Roman"/>
                <w:sz w:val="27"/>
                <w:szCs w:val="27"/>
                <w:color w:val="auto"/>
                <w:vertAlign w:val="superscript"/>
              </w:rPr>
              <w:t>(1)</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236,140</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14.4</w:t>
            </w: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342,910</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16.2</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506,272</w:t>
            </w: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72,396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w:t>
            </w:r>
          </w:p>
        </w:tc>
      </w:tr>
      <w:tr>
        <w:trPr>
          <w:trHeight w:val="20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1,638,736</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3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2,118,982</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2,428,226</w:t>
            </w: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347,232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08" w:lineRule="exact"/>
        <w:rPr>
          <w:sz w:val="20"/>
          <w:szCs w:val="20"/>
          <w:color w:val="auto"/>
        </w:rPr>
      </w:pPr>
    </w:p>
    <w:p>
      <w:pPr>
        <w:ind w:left="300" w:hanging="299"/>
        <w:spacing w:after="0" w:line="274"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range hoods, gas stoves and other small appliances, as well as product installation services and rental services. For more details, see Note 15 to our consolidated financial statements at the end of this annual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Home water systems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core of our home water system products are our Viomi-branded and Xiaomi-branded smart water purifiers, which are complemented by our easy-to-install replaceable water filter consumable products. In general, our smart water purifiers feature precision sensors that enable real-time monitoring of the water purification process, facilitating data analysis and automatic adjustments with AI technology, innovative water purification technologies such as high-flow reverse osmosis membrane, and mobile application connectivity that allows users to monitor the status of the water purifier and receive reminders to replace filters. We continuously innovate and have introduced a series of new products. In the domestic market, we launched the Kunlun Mineral Series under-sink water purifier, which adopts a “purification-first, mineralization-second” approach, and advocates a healthy drinking water lifestyle. In May 2025, we launched the Kunlun 4 Pro Alkaline Mineral Water purifier. This next-generation water purifier harnesses AI technology to replicate the natural mineral water formation process, aiming to elevate household drinking water from the era of “pure water” to the new era of “pure mineral water,” and offering a solution for families seeking mineral-rich drinking water at home. In overseas markets, we are rolling out a more diverse range of products, taking into account the drinking water habits of different countries as well as channel-specific attributes. In September 2025, we launched the Master 1 mineral water purifier on Amazon. This product is equipped with a nine-stage precision filtration and an AI-powered interactive faucet, further enriching our product portfolio. In October 2025, we launched the Inno mineral water dispenser in Malaysia, tailored for the local market and featuring both mineralization and cooling functions.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home water system products also include water heaters, smart water kettles, and electric kettles, among others.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consumables mainly include water filters for our smart water purifiers. We offer water filters that are complementary, and often essential, to our home water systems. These products generate additional, recurring revenue streams throughout the life cycle of our home water systems. Consumers can purchase these products through our sales channels or the e-commerce platforms integrated to our home water systems.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Kitchen appliances and others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Another component of our platform is our kitchen appliances and others.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offer a variety of other kitchen appliances to supplement our home water systems. These kitchen appliances include range hoods, gas stoves, and other small appliances.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provide product installation services to end-customers and lease properties to related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Channels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key sales channel network consists of (i) online e-commerce platforms, (ii) third-party offline channels, through which we predominantly sell Viomi-branded products, and (iii) Xiaomi, through which we predominantly sell Xiaomi-branded products.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Online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products are sold across a number of leading e-commerce channels in China, including JD.com, Tmall, Youpin and Pinduoduo, among others. We believe that cooperation with these leading e-commerce platforms enables us to leverage their established customer base and brand recognition, and helps us reach a wide group of customers across a variety of markets. We also sell products via our proprietary Viomi mobile app and WeChat program.</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Since 2022, we have deepened our cooperation with JD Logistics to access a broader range of services including planning, logistics, warehousing and installation, which we believe improves efficiency throughout our cycle, from solution design and delivery to installation, as well as provide our customers with more enjoyable after-sale service experience. In 2023, we closely cooperated with JD.com to ensure a smooth and differentiated consumer experience by introducing our new water purifiers on its platform. In February 2025, we further strengthened our cooperation with JD, reaching a joint marketing agreement for the Kunlun series products to promote healthy drinking water.</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also developing our overseas business via online channels. Our North America new product series made a strong international debut on the Kickstarter crowdfunding platform on November 5, 2024, surpassing its funding goal on the first day with 168 backers contributing over 1,200% of the target. Our Amazon store was officially launched on December 16,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Offline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offline sales channels comprise of our Viomi offline stores and online-to-offline (O2O) outlets of major e-commerce retailers. These O2O outlets complement our online channels, expanding our market access and increasing our brand awareness.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Third-party offline channels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To further diversify and strengthen our overall channel penetration and presence, we have established cooperation with O2O outlets of major e-commerce retailers such as JD nationwide. In Malaysia, we have established cooperation with offline distributors, securing shelf placement for our products in their retail outlets. In October 2025, we held a launch event for the new Inno product and invited our local brand ambassador, the renowned singer Shila Amzah, to attend the event for this innovative product integrating healthy hydration and smart technology.</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also developing our overseas business by upgrading channels, diversifying our operation model and expanding product categories. We participated for the first time in CES 2025 in Las Vegas in January 2025. Our intelligent home water solutions garnered widespread recognition from industry experts and attendees, reinforcing our reputation as a smart home water solutions innovator.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Xiaomi</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our cooperation agreement with Xiaomi, we are responsible for the design, research, development, production and delivery of various Xiaomi-branded products to Xiaomi. Xiaomi is then responsible for commercial distribution and sales of these respective products. We also sell some Viomi-branded products to Xiaomi.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are committed to developing new and innovative products and services through research and development. As a long-term strategy, we are committed to provide industry-leading water solutions. Recently, we moved Guangdong Lizi’s smart water purification system facility to the Viomi Technology Park, to seamlessly integrate both upstream and downstream segments of water purification product manufacturing. As of December 31, 2025, our total research and development staff consisted of approximately 271 employees across multiple R&amp;D centers and product groups teams, representing 37.4% of our total number of employees. Many of our team members are global and cross-industry experts in technical product hardware development, software and AI, including experts with previous experience working at Microsoft, LG, Samsung, AO Smith, Ecowater Systems and Coway. We incurred RMB148.9 million, RMB142.9 million and RMB165.6 million (US$23.7 million) in research and development expenses in 2023, 2024 and 2025,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0" w:lineRule="exact"/>
        <w:rPr>
          <w:sz w:val="20"/>
          <w:szCs w:val="20"/>
          <w:color w:val="auto"/>
        </w:rPr>
      </w:pPr>
    </w:p>
    <w:p>
      <w:pPr>
        <w:jc w:val="both"/>
        <w:ind w:firstLine="605"/>
        <w:spacing w:after="0" w:line="235" w:lineRule="auto"/>
        <w:rPr>
          <w:sz w:val="20"/>
          <w:szCs w:val="20"/>
          <w:color w:val="auto"/>
        </w:rPr>
      </w:pPr>
      <w:r>
        <w:rPr>
          <w:rFonts w:ascii="Times New Roman" w:cs="Times New Roman" w:eastAsia="Times New Roman" w:hAnsi="Times New Roman"/>
          <w:sz w:val="17"/>
          <w:szCs w:val="17"/>
          <w:color w:val="auto"/>
        </w:rPr>
        <w:t>Our R&amp;D achievements have also been recognized by industry and professional institutions. In April 2022, we took the silver at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Guangdong Patent Awards with one of our water purifiers and its integrated waterway module technology. Further, the Viomi brand was added to the key trademark protection list in Guangdong province. We were officially listed as Guangdong PhD Work Station by the government and have obtained the selection qualification to establish the Guangdong Postdoctoral Work Station. In July 2023, through its outstanding R&amp;D efforts and innovative capabilities in the water purification industry, Guangdong Lizi Technology Co., Ltd., one of our subsidiaries, was honored with a national-level specialized and innovative “Little Giant” enterprise, which is one of the highest-level and most authoritative evaluation ratings for domestic enterprises in China. In December 2023, we ranked the second in the Technology Progress Awards by the Guangdong Artificial Intelligence Industry Association.</w:t>
      </w:r>
    </w:p>
    <w:p>
      <w:pPr>
        <w:spacing w:after="0" w:line="18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of December 31, 2025, our global patent applications had surpassed 1,950, spanning 14 countries and regions. We have built highly competitive technological capabilities in areas such as AI-driven water quality algorithms, precision mineral control and intelligent self-cleaning, laying a solid foundation for the continued expansion of our global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Software, AI and Data Analytics Systems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rely on our advanced software, innovative AI technology and powerful data analytics capability to develop, operate, and continually enhance our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Advanced software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developed advanced software to enable interconnectivity of our products and to support and expand their functionalities. Our software is equipped with public application programming interface through which other parties’ software and products can be connected to and integrated with ours.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Some of our products that are equipped with interactive screens that run the Android operating system, which can operate software applications with advanced and diverse functions and serve as the platform on which our products connect. The rest of our products have embedded systems that operate both locally and on the cloud. Our Viomi mobile app allows customers to quickly and efficiently discover, review, select and purchase our products. In addition, the Viomi app serves as the control app for certain of our products, and enables our users to manage, monitor and interact with such products. Using our cloud-based software system, our products receive automatic updates, often on an overnight basis, to incorporate new functionalities and grow smarter over time based on our data analysis.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AI</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intend to leverage ongoing advancements in AI by incorporating them into our products and services. Our AI technology team develops and refines our proprietary, AI-based algorithms, and leverages third-party AI components to build a more effective system. AI technology is widely implemented through our services, for example in voice and gesture control, as well as in water quality analysis.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analytics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Through users’ interaction with many of our products, advanced sensors embedded in our products can capture, accumulate and upload user and household usage data, only with the consent of users and will be used within the authorized scope. Our users’ behavior and sequential data is stored strictly in compliance with stringent data privacy standards and data security requirements.</w:t>
      </w:r>
    </w:p>
    <w:p>
      <w:pPr>
        <w:spacing w:after="0" w:line="169"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Our big data analysis team has developed our own data analytics platform. We use this platform to extract intelligence from large amounts of data. Analyzing this data enhances our understanding of user behavior, and we are thus able to further develop our home water solutions and other products to better serve our customers. By providing better solutions, we believe we will attract more users over time. More users on our platform can then generate more data for our software analytics, enhance our software and algorithms, and lead to a better user experience, which in turn can attract more users to our platform, a powerful virtuous cycle.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consider the protection of the personal privacy of each of our users to be of paramount importance. We collect only anonymous data and only with users’ consent, and all sensitive data is encrypted. We use such data only for the improvement of our products and services. Furthermore, our employees’ access to our internal information management system is limited to verified IP address and we restrict the scope of such access based on the duty of the employee. Our data is stored securely in Tencent, Alibaba, Xiaomi, Amazon, Volcengine and Google Cloud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Intellectual property rights are fundamental to our business, and we devote significant time and resources to their development and protection. We rely on a combination of patent, copyright, trademark and trade secret laws, as well as confidentiality agreements, to establish and protect our proprietary rights. We generally do not rely on third-party licenses of intellectual property for use in our business.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had 2,292 patents registered with the State Intellectual Property Office of China.</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Globally, as of December 31, 2025, we had one pending patent application in the United States.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had registered 63 trademarks in China.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with Xiaomi</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Xiaomi is our strategic partner, shareholder and customer. Our strategic partnership with Xiaomi provides us access to Xiaomi’s ecosystem users, sales platforms and data resources and related support. Meanwhile, our strong manufacturing, research and development capabilities, supply chain resources and innovative products and services are able to enrich Xiaomi’s suite of offerings, resulting in a mutually beneficial relationship between Xiaomi and us.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cooperation with and sales to Xiaomi extends to a diversified range of products, which, as of the end of 2025, included Xiaomi-branded water purification systems, water purifier filters, range-hoods and gas stoves, water heaters as well as other small products such as kettles, small kitchen products and water quality meters.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Under our cooperation agreement with Xiaomi, we are responsible for the design, research, development, production and delivery of various Xiaomi-branded products to Xiaomi. Xiaomi is then responsible for commercial distributions and sales. For certain products under our cooperation with Xiaomi, the selling price is a fixed amount as agreed by both parties. For other products, we first recover our manufacturing and logistics cost when we deliver to Xiaomi, and are additionally entitled to share a portion of the gross profit when Xiaomi is successful in selling such products to end consumers.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also sell Viomi-branded products through Xiaomi’s e-commerce platform, Youpin, directly to consumers. We are charged with service fees proportionate to the sales amount of our products excluding refunds, or as otherwise agreed for certain products.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Please see the description under “Item 7. Major Shareholders and Related Party Transactions—B. Related Party Transaction—Our Relationship with Xiaomi —Business cooperation agreement.” For a summary of the material terms of major agreements with Xiaomi. Please also see “Item 3. Key Information—D. Risk Factors—Risks Related to Our Business and Industry—Xiaomi is our strategic partner and our most important customer. Changes in our relationship with Xiaomi could have a material adverse effect on our operating results.” For discussion of our risks associated with the cooperation with Xiaomi.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marketing is focused on building our brand recognition, increasing market awareness of our home water solutions and driving customer demand, as well as collaborating with our third-party partners across our sales channels. Examples of our marketing initiatives include: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Branding and advertisements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leverage social-media, including live-streaming platforms to engage with users of our products, whereby we enhance user-experience while promoting our brand. For example, we have invited key opinion leaders, or KOLs, celebrities, and even our management and employees to be live-streaming hosts. Considering the target market of our brand and products, support from KOLs through social-media and live-streaming has been quite an effective marketing initiative, not only as a promotional tool, but also to increase customer and user stickiness and engagement. In 2025, we engaged renowned actress Huang Shengyi to serve as our brand ambassador in China and singer Shila Amzah in Malaysia. We also partnered with Olympic champion Tian Liang as a brand friend and invited artist Ye Yiqian to serve as our product experience officer, continuing to strengthen our “Technology + Health” brand image.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Events marketing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organize and participate in various official online and offline events to promote our brand and the idea of a healthy lifestyle. We actively participate in shopping festivals across e-commerce platforms such as “618”, “Double Eleven” and “Double Twelve,” which are highly popular among Chinese consumers. In March 2024, we hosted the Viomi Spring Water Purifier New Product Launch Event and unveiled the Viomi Kunlun Mineral AI Water Purifier. In May 2025, we unveiled Kunlun 4 Pro Alkaline Mineral Water purifier at a special offline product event. In October 2025, we hosted an offline product launch event for Inno mineral water dispenser in Malaysia.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service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User experience is a key focus for our business. We strive to provide personalized support for our users, including support from customer service representatives through real-time online chat, our toll-free customer service phone number, or visiting our Viomi offline stores. To improve our overall customer service capability, we keep upgrading our service network across China and have implemented a customer satisfaction system, which integrates the call center, service task and customer relation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After-sales service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goal of our after-sale service is to create the best user experience for our customers. Our customers may return all products purchased from our official Viomi online store and other online platforms within seven days from receipt. Our customers may also have their products replaced for specific types of defects or quality issues as required under the laws and regulations. In addition, we partner with local aftersales service providers to provide on-site services such as product installation and repairs to our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Fulfillment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Procurement and manufacturing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produce our products both through outsourcing manufacturing and through in-house manufacturing. Currently, excluding water purification products and filters, the rest of our product manufacturing, is outsourced to a number of contract manufacturers, who produce our products using design specifications and standards that we have established. We also help our contract manufacturers to design the equipment and tooling used in the production and help train their workers. We evaluate on an ongoing basis our current contract manufacturers and component suppliers, including whether or not to utilize new or alternative contract manufacturers or component suppliers.</w:t>
      </w:r>
    </w:p>
    <w:p>
      <w:pPr>
        <w:spacing w:after="0" w:line="176"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Our in-house facility, Guangdong Lizi, commenced commercial operations in the first half of 2019 and were integrated into our Viomi platform. Guangdong Lizi is a smart water purification system facility focusing on the research, design, production and supply of smart water purifiers and water purifier filters Going forward, we expect that an increase in the proportion of our smart water purifier, water purifier filter demands that can be supplied directly through this facility.</w:t>
      </w:r>
    </w:p>
    <w:p>
      <w:pPr>
        <w:spacing w:after="0" w:line="15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acquired land use right to a parcel of land of approximately 36,000 square meters from the local government in Shunde, Guangdong Province in June 2020, for the development of Viomi Technology Park, a comprehensive high-tech industrial campus. We have completed the construction of the building in the second half of 2023 and relocated our in-house facility, Guangdong Lizi, the Water Purifier Gigafactory, of the group into the park. The Viomi Technology Park currently serves as one of our multi-functional headquarters, including a product experience center, a research and development center, a Water Purifier Gigafactory, and a centralized hub for sales and customer service functions. Going forward, the Water Purifier Gigafactory is expected to focus on and accommodate additional facilities for our home water system products, especially water purification products, serving as a focal point of our expanded supply chain capabilities, while attracting more upstream and downstream corporate and business opportunities. We are committed to strengthening our supply chain resources to provide the necessary foundation for supporting our manufacturing and R&amp;D capabilities.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believe that outsourcing certain manufacturing of our products while retaining others at our own facility allows us to scale up more rapidly while also providing additional operational flexibility and at the same time ensures our control over our supply chain and technological expansion.</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procure certain key raw materials and components from domestic and some overseas suppliers, and then consign them to our contract manufacturers. Our suppliers generally also provide direct order fulfillment services with logistics that include delivery of parts and assembly to either our own facility for inspection or our contract manufacturers directly.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management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inventory primarily consists of finished products and raw materials. We manage our inventory with measures appropriate to the use and nature of the inventory. Our manufacturing plans are designed and implemented to accommodate our sales and maintain reasonable inventory levels. We receive aggregated and geographically-enabled inventory data feeds from our centralized distribution network, which facilitates product shipment from warehouses that are closer to the delivery destination. Through close coordination with our customers and contract manufacturers and frequent purchases of components from suppliers, we are able to carry relatively efficient levels of raw materials and in-process inventories, minimizing inventory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quality assurance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developed the quality assurance management software that monitors the manufacturing and quality assurance process used across our own manufacturing facility as well as our contract manufacturers. We have designed and implemented a quality management system that provides the framework for continuing improvement of our products and processes. For our new product lines, we conduct thorough examinations of product samples and each of their components at the product verification testing stage to make sure they satisfy our technical requirements. For our existing product lines, we also have a quality assurance team that establishes, communicates and monitors quality standards by product category. In addition, we have quality assurance personnel seconded to the facilities of our contract manufacturers to ensure that they fully adhere to our quality standards in the production process.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constant access to each manufacturing facility of our contract manufacturers, and our quality control team continually monitors the quality of incoming components, materials and finished products, as well as the manufacturing processes at our contract manufacturers’ facilities. We also require our partners to maintain quality control over their logistics, production and quality inspection procedures based on ISO9001 quality standards.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 Infrastructure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network infrastructure is designed to satisfy the requirements of our operations, to support the growth of our business and to ensure the reliability of our operations as well as the security of information on our platform. We continually develop our platform to offer users an effortless and seamless experience across our products and services, while at the same time enhancing the reliability and scalability of our platform.</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cooperate with Xiaomi, Alibaba, Tencent, Amazon, Volcengine and Google Cloud services for services such as computing services, storage, server, bandwidth and video call. We have a working data redundancy model with comprehensive backups of both cloud services. This redundancy supports the reliability of our network and the stable operation of our business.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compete with other companies in all aspects of our business, particularly companies that are in the home water solution market. The home water solution market has a large number of participants, including traditional appliances companies, consumer electronics companies and AI and consumer internet companies that are moving into the hardware space. The industry in which we compete is evolving rapidly and is becoming increasingly competitive. For additional information, see “Item 3. Key Information—D. Risk Factors—Risks Related to our Business and Industry—We operate in highly competitive markets, and the scale and resources of some of our competitors may allow them to compete more effectively than we can, which could result in a loss of our market share and a decrease in our net revenues and profitability.”</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believe the success of our growth strategy depends on many factors, including brand recognition, value, user experience, breadth of product and service offerings, product functionality and quality, sales and distribution, and supply chain management.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maintain various insurance policies to safeguard against risks and unexpected events. We have purchased product liability insurance for Viomi branded products, sold in the domestic market as well as those exported to the overseas market. We maintain public liability insurance for any personal injury or property loss of any third party occurred in the operating facilities of the Company in China, including those of Foshan Viomi and its subsidiaries in China. We have also procured insurance policies to insure against the risk of potential inabilities to collect our accounts receivables.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line with common practice of the market, we do not maintain any business interruption insurance, which is not typical in our industry or mandatory under Chinese laws. We do not maintain key-man life insurance or insurance policies covering non-physical damages to our IT infrastructure or information technology systems. We also do not maintain insurance policies against risks relating to the Contractual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Substantially all of our business is located in PRC, and laws and regulations in PRC are most relevant to our business. This section sets forth a summary of the most significant rules and regulations that affect our business activities in China.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value-added telecommunication services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Telecommunications Regulations of the PRC, promulgated by the State Council in 2000 and last amended in February 2016, provide a regulatory framework for telecommunications services providers in PRC. These regulations require telecommunications services providers to obtain operating licenses prior to the commencement of their operations. The telecommunications services are categorized into basic telecommunications services and value-added telecommunications services. According to the Catalog of Telecommunications Business, attached to the Telecommunications Regulations and last amended by the Ministry of Industry and Information Technology in June 2019, each of internet information services and transaction processing services provided via fixed network, mobile network and Internet fall within value-added telecommunications services.</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Administrative Measures on Internet Information Services, promulgated by the State Council in 2000 and last amended in December 2024, set out guidelines on the provision of internet information services. These measures classified internet information services into commercial internet information services and non-commercial internet information services, and a commercial operator of internet information services or transaction processing services must obtain a corresponding operating permit for value-added telecommunications services (VATS License) from the appropriate telecommunications administration authorities. The Administrative Measures for Telecommunications Businesses Operating Licensing, which was promulgated by the Ministry of Industry and Information Technology in July 2017 and became effective on September 1, 2017, provide that a commercial operator of value-added telecommunications services must first obtain a VATS License from the Ministry of Industry and Information Technology or its provincial level counterparts. The VATS License is classified as the Cross-regional Value-added Telecommunications Operating License and the Value-added Telecommunications Operating License within a province, autonomous region and municipality directly under the central government. In addition, in the first quarter of every year while the operator is holding the license, it must report information such as business performance of the telecommunications business in the previous year, the actual progress in network buildup, business development, turnover of staff, institutional restructuring and service quality to the issuing authorities.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Pursuant to the Provisions on the Administration of Foreign-Invested Telecom Enterprises, promulgated by the State Council in 2001 and last amended in 2022, foreign investors are prohibited from holding more than 50% of the equity interests of a telecom enterprise operating value-added telecom services unless otherwise provided by the laws and regulations. In addition, the establishment of a foreign-invested telecom enterprise operating value-added telecom services needs to seek approval from the Ministry of Industry and Information Technology.</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To comply with these regulations, we have adopted a “VIE” structure. Prior to the completion of the 2024 reorganization transaction, our former VIE, Foshan Viomi, holds an operating permit for e-commerce services and an operating permit for internet information services, which allow Foshan Viomi to provide e-commerce services and internet information services. In the 2024 reorganization transaction, Foshan Viomi agreed to transfer the websites, mobile apps, mini programs operated by it and all the relates materials and rights (including but not limited to domain names, databases, codes, software, operational data, materials, documents, information) to Guangdong Interconnect. We have completed the transfer process with Foshan Viomi transfer in November 2025. Guangdong Interconnect has obtained an operating permit for e-commerce services and an operating permit for internet information services. After the completion of the transfer and obtaining all the operating permits, Guangdong Interconnect will replace Foshan Viomi in operating internet information and e-commerce services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catalogue relating to foreign investment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Investment activities in the PRC by foreign investors are subject to the Catalogue Industries for Encouraging Foreign Investment and the Catalogue of special management measures, or the Negative List, both of which were promulgated and are amended from time to time by the Ministry of Commerce and the National Development and Reform Commission. The latest version of the Catalogue Industries for Encouraging Foreign Investment, which was amended and issued on December 15, 2025 and became effective on February 1, 2026, indicates the encouraged industries for foreign investments. The latest version of the Negative List, which was amended and issued on September 6, 2024 and became effective on November 1, 2024, divides the industries listed therein into two categories: restricted industries and prohibited industries. Any industry not listed in any of the latest version of the Catalogue Industries for Encouraging Foreign Investment or the latest version of the Negative List is classified as a permitted industry for foreign investment. Establishment of wholly foreign-owned enterprises is generally allowed in industries outside of the Negative List. For the restricted industries within the Negative List, some are limited to equity or contractual joint ventures, while in some cases Chinese partners are required to hold the majority interests in such joint ventures. In addition, restricted category projects are subject to government approvals and certain special requirements. Foreign investors are not allowed to invest in industries in the prohibited category. Industries not listed in the Negative List are generally open to foreign investment unless specifically restricted by other PRC regulations.</w:t>
      </w:r>
    </w:p>
    <w:p>
      <w:pPr>
        <w:spacing w:after="0" w:line="18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PRC Foreign Investment Law was promulgated on March 15, 2019 by the National People’s Congress and has come into force since January 1, 2020, which stipulates that the state implements a management system of pre-entry national treatment plus Negative List for the administration of foreign investment. According to the PRC Foreign Investment Law, foreign investors and their investments are entitled to pre-entry national treatment and are subject to the negative list management system. The pre-entry national treatment refers to the treatment given to foreign investors and their investments at the market access stage that is no less favorable than that given to domestic investors and their investments. The PRC Foreign Investment Law also provides that industries not included in the Negative List shall be managed under the principle that domestic investment and foreign investment shall be treated equally. On December 26, 2019, the State Council promulgated the Implementation Regulations on the PRC Foreign Investment Law effective on January 1, 2020, which further require that foreign-invested enterprises and domestic enterprises shall be treated equally with respect to policy making and implementation.</w:t>
      </w:r>
    </w:p>
    <w:p>
      <w:pPr>
        <w:spacing w:after="0" w:line="18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December 30, 2019, the Ministry of Commerce and the State Administration for Market Regulation jointly issued the Measures for Foreign Investment Information Reporting effective on January 1, 2020. Since then, for foreign investors engaging in investment activities, either directly or indirectly, in the PRC, the foreign investors or foreign-invested enterprises shall submit investment information through the Enterprise Registration System and the National Enterprise Credit Information Publicity System, both operated by the State Administration for Market Regulation. Foreign investors or foreign-invested enterprises shall disclose their investment information by submitting reports for their establishments, modifications and cancellations and their annual reports in accordance with the Measures for Foreign Investment Information Reporting. If a foreign-invested enterprise investing in the PRC has finished submitting its reports for its establishment, modifications and cancellation and its annual reports, the submitted information will be shared by the competent market regulation department to the competent commercial department, and therefore the foreign-invested enterprise is not required to submit the reports separately.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M&amp;A rules and overseas listings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Foreign investors shall comply with the Regulations on Mergers and Acquisitions of Domestic Enterprises by Foreign Investors promulgated by six PRC regulatory agencies in 2006 and amended by Ministry of Commerce in 2009, when they purchase equity interests of a domestic company or subscribe the increased capital of a domestic company, changing the nature of the domestic company into a foreign-invested enterprise; when they establish a foreign-invested enterprise in the PRC, purchase the assets of a domestic company and operate the assets; or when they purchase the asset of a domestic company, establish a foreign-invested enterprise by injecting such assets and operate the assets. The Regulations on Mergers and Acquisitions of Domestic Enterprises by Foreign Investors include provisions that mandate offshore special purpose vehicles established for overseas listing through acquisitions of PRC domestic companies and controlled by PRC companies or individuals to seek approval from the CSRC before publicly listing their securities on an overseas stock exchange.</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July 6, 2021, the General Office of the State Council, together with another regulatory authority, jointly promulgated the Opinions on Strictly Scrutinizing Illegal Securities Activities in Accordance with the Law, which emphasize the need to strengthen the administration over illegal securities activities and the supervision on overseas listings by China-based companies. These opinions propose to take effective measures, such as promoting the construction of relevant regulatory systems to deal with the risks and incidents faced by China-based overseas-listed companies, and provide that the special provisions of the State Council on overseas offering and listing by those companies limited by shares will be revised and therefore the duties of domestic industry competent authorities and regulatory authorities will be clarified.</w:t>
      </w:r>
    </w:p>
    <w:p>
      <w:pPr>
        <w:spacing w:after="0" w:line="176" w:lineRule="exact"/>
        <w:rPr>
          <w:sz w:val="20"/>
          <w:szCs w:val="20"/>
          <w:color w:val="auto"/>
        </w:rPr>
      </w:pPr>
    </w:p>
    <w:p>
      <w:pPr>
        <w:jc w:val="both"/>
        <w:ind w:firstLine="605"/>
        <w:spacing w:after="0" w:line="248" w:lineRule="auto"/>
        <w:rPr>
          <w:sz w:val="20"/>
          <w:szCs w:val="20"/>
          <w:color w:val="auto"/>
        </w:rPr>
      </w:pPr>
      <w:r>
        <w:rPr>
          <w:rFonts w:ascii="Times New Roman" w:cs="Times New Roman" w:eastAsia="Times New Roman" w:hAnsi="Times New Roman"/>
          <w:sz w:val="17"/>
          <w:szCs w:val="17"/>
          <w:color w:val="auto"/>
        </w:rPr>
        <w:t>According to the Trial Measures for Overseas Listing, (1) domestic companies that seek to offer or list securities in overseas markets, either in direct or indirect means, should fulfill the filing procedure with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controlling beneficial owners, the person directly in charge and other directly liable persons may also be subject to administrative penalties, such as warnings and fines; (2) if the issuer meets both of the following criteria, the overseas offering and listing shall be determined as an indirect overseas offering and listing by a domestic company: (i) 50% or more of any of the issuer’s operating revenue, total profit, total assets or net assets as documented in its audited consolidated financial statements for the most recent fiscal year is accounted for by domestic companies; (ii) the main parts of the issuer’s operation activities are conducted in mainland China, or the principal operation premises are located in mainland China, or the majority of senior management staff in charge of its business operations and management are PRC citizens or have habitual residences located in mainland China; and (3) an overseas offering and listing of securities of a domestic company is prohibited under any of the following circumstances: (i) such securities offering and listing is explicitly prohibited by provisions in laws, administrative regulations and state rules; (ii) the intended securities offering and listing may endanger national security as reviewed and determined by competent authorities under the State Council in accordance with law; (iii) the domestic company(ies) intending to make the securities offering and listing, or its controlling shareholder(s) and the actual controlling beneficial owner, have committed relevant crimes such as corruption, bribery, embezzlement, misappropriation of property or undermining the order of the socialist market economy during the latest three years; (iv) the domestic company(ies) intending to make the securities offering and listing is currently under investigations for suspicion of criminal offenses or major violations of laws and regulations, and no conclusion has yet been made thereof; or (v) there are material ownership disputes over equity held by the PRC domestic company’s controlling shareholder(s) or by other shareholder(s) that are controlled by the controlling shareholder(s) and/or actual controlling beneficial owner. Furthermore, the Trial Measures for Overseas Listing also provide that (1) where a domestic company seeks to indirectly offer and list securities in overseas markets, the issuer shall designate a major domestic operating entity, which shall, as the domestic responsible entity, fulfill the filing procedures with the CSRC; (2) an initial public offering and listing shall be filed with the CSRC within three business days after the relevant application is submitted overseas; (3) subsequent securities offerings of an issuer in the same overseas market where it has previously offered and listed securities shall be filed with the CSRC within three business days after the offering is completed; (4) subsequent securities offerings and listings of an issuer in overseas markets other than where it has offered and listed shall be filed pursuant to provisions as stipulated for initial public offerings and listings.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On February 17, 2023, the CSRC held a press conference for the release of the Trial Measures for Overseas Listing and issued the Notice on Administration for the Filing of Overseas Offering and Listing by Domestic Companies, which, among others, clarify that (1) domestic companies that have already been listed overseas on or prior to the effective date of the Trial Measures for Overseas Listing (i.e., March 31, 2023) shall be deemed as existing issuers and are not required to complete the filling procedures immediately, and they shall be required to file with the CSRC when subsequent matters such as refinancing are involved; (2) on or prior to the effective date of the Trial Measures for Overseas Listing,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shall complete the filing before the completion of their overseas offering and listing; (3) a six-month transition period will be granted to domestic companies which, prior to the effective date of the Trial Measures for Overseas Listing, have already obtained the approval from overseas regulatory authorities or stock exchanges (such as the completion of registration in the market of the United States or the completion of hearing in the market of Hong Kong), but have not completed the indirect overseas listing; if domestic companies fail to complete the overseas listing within such six-month transition period, they shall file with the CSRC according to the requirements; and (4) the CSRC will solicit opinions from the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188"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On February 24, 2023, the CSRC released the Provisions on Strengthening Confidentiality and Archives Management of Overseas Securities Issuance and Listing by Domestic Enterprises effective on March 31, 2023. The provisions require, among others, that PRC domestic enterprises seeking to offer and list securities in overseas markets, either directly or indirectly, shall establish and improve the system of confidentiality and archives work, and shall complete approval and filing procedures with competent authorities, if such PRC domestic enterprises or their overseas listing entities provide or publicly disclose documents or materials involving state secrets and work secrets of state organs to relevant securities companies, securities service institutions, overseas regulatory agencies and other entities and individuals. It further stipulates that (1) providing or publicly disclosing documents and materials which may adversely affect national security or public interests, and accounting records or photocopies thereof to relevant securities companies, securities service institutions, overseas regulatory agencies and other entities and individuals shall be subject to corresponding procedures in accordance with the laws and regulations; and (2) any working papers formed in the territory of the PRC by securities companies and securities service agencies that provide domestic enterprises with securities services relating to overseas securities issuance and listing shall be stored in the territory of the PRC, the outbound transfer of which shall be subject to corresponding procedures in accordance with the laws and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product quality and consumer protection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PRC Product Quality Law applies to all production and sale activities in China. Pursuant to this law, products offered for sale must satisfy the relevant quality and safety standards. Enterprises may not produce or sell counterfeit products in any manner. Any producer or seller engaging in the production or sale of products that do not adhere to national standards or trade standards aimed at ensuring human health and personal or property safety shall be ordered to cease the production or sale of the products. Additionally, the illegally produced or sold products shall be confiscated and a fine equivalent to, but not more than three times, the value of the products illegally produced or sold (including those already sold and those not yet sold) shall be imposed concurrently. If there are illegal proceeds, such proceeds shall be confiscated concurrently. Furthermore, the business license shall be revoked in the severe circumstances. If the case constitutes a crime, criminal liability shall be investigated. Where a defective product causes physical injury to a person or damage to another person’s property, the victim may claim compensation from the manufacturer or from the seller of the product. If the seller pays compensation and it is the manufacturer that should bear the liability, the seller has a right of recourse against the manufacturer. Similarly, if the manufacturer pays compensation and it is the seller that should bear the liability, the manufacturer has a right of recourse against the seller.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PRC Consumer Protection Law, which was amended in October 2013 and became effective in March 2014, sets out the obligations of business operators and the rights and interests of the consumers.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Where business operators use internet, television, telephone, mail or other means to sell their commodities, consumers have the right to return such commodities, except the following commodities within seven days from the date when the consumers receive the commodities without giving any reason:</w:t>
      </w:r>
    </w:p>
    <w:p>
      <w:pPr>
        <w:spacing w:after="0" w:line="160" w:lineRule="exact"/>
        <w:rPr>
          <w:sz w:val="20"/>
          <w:szCs w:val="20"/>
          <w:color w:val="auto"/>
        </w:rPr>
      </w:pPr>
    </w:p>
    <w:p>
      <w:pPr>
        <w:ind w:left="900" w:hanging="294"/>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commodities customized by the consumers;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fresh perishable commodities;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digitized commodities such as audio-video products and computer software downloaded online or opened by the consumers; and delivered newspapers and periodicals.</w:t>
      </w:r>
    </w:p>
    <w:p>
      <w:pPr>
        <w:spacing w:after="0" w:line="15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Where business operators use internet, television, telephone, mail or other means to provide goods or services, or provide securities, insurance, banking or other financial services, they shall provide consumers with information in regard to themselves and the goods or services provided such as business address, contact information, quantity and quality, price or fees, term and method of performance, safety precautions, risk warnings, after-sale services, and civil liabilities. Consumers whose legitimate rights and interests are infringed while purchasing goods or receiving services via an online trading platform shall have the right to claim compensation from the vendor of the goods or the provider of the services. Failure to comply with the PRC Consumer Protection Law may subject business operators to civil liabilities such as refunding purchase prices, exchanging commodities, repairing, remanufacturing, ceasing damages, compensation, and restoring reputation, and even subject the business operators or the responsible individuals to criminal penalties if business operators commit crimes by infringing the legitimate rights and interests of consumers. If the goods or services a business operator provides have caused personal injuries to consumers or other victims, the business operator shall compensate for the medical expenses, nursing expenses, transportation expenses and other reasonable fees for treatment and rehabilitation as well as the reduced income for loss of working time.</w:t>
      </w:r>
    </w:p>
    <w:p>
      <w:pPr>
        <w:spacing w:after="0" w:line="183"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the PRC Civil Code, which became effective on January 1, 2021, producers shall bear tortious liability for damage caused to others by their defective products. If damages to other persons are caused by defective products due to the fault of a third party,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issuance of a warning, recall of products, etc.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subject to the above laws and regulations as an online retailer of products and believe that we are currently in compliance with these regulations in all material aspects.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intellectual property rights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PRC has adopted comprehensive legislation governing intellectual property rights, including patents, trademarks, copyrights and domain names.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Patents</w:t>
      </w:r>
    </w:p>
    <w:p>
      <w:pPr>
        <w:spacing w:after="0" w:line="212"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Pursuant to the PRC Patent Law, most recently amended on October 17, 2020, and its implementation rules, most recently amended on December 11, 2023 and becoming effective on January 20, 2024, patents in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the new design of a certain product in shape, pattern or a combination of both, and in color, shape and pattern combinations aesthetically suitable for industrial application. Under the PRC Patent Law, the term of patent protection starts from the date of application. Patents relating to invention are effective for twenty years, utility models are effective for ten years, and designs are effective for fifteen years from the date of application. The PRC Patent Law adopts the principle of “first-to-file” system, which provides that where more than one person files a patent application for the same invention, a patent will be granted to the person who files the application first.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Existing patents can become narrowed, invalid or unenforceable due to a variety of grounds, including lack of novelty, creativity, and deficiencies in patent application. In China, a patent must have novelty, creativity and practical applicability. Under the PRC Patent Law, novelty means that the invention or the utility model does not fall under the existing technology, and no other person has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State Intellectual Property Office of China. Where, pursuant to the receipt of an application for a patent of an invention, the patent administrative department under the State Council, upon preliminary examination, finds the application conforms to the requirements of the PRC Patent Law, it shall publish the application promptly within 18 full months from the filing date. Upon the request of the applicant, the patent administrative department under the State Council may publish the application earlier.</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Article 19 of the PRC Patent Law provides that, for an invention or utility model completed in China, any applicant (not just Chinese companies and individuals), before filing a patent application outside of China, must first submit it to the State Intellectual Property Office of China for a confidential examination. Failure to comply with this requirement will result in the denial of any Chinese patent for the relevant invention. This added requirement of confidential examination by the agency has raised concerns by foreign companies who conduct research and development activities in China or outsource research and development activities to service providers in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Patent enforcement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Unauthorized use of patents without consent from owners of patents, forgery of the patents belonging to other persons or engagement in other patent infringement acts will subject the infringers to infringement liability. Serious offences such as forgery of patents may be subject to criminal penalties.</w:t>
      </w:r>
    </w:p>
    <w:p>
      <w:pPr>
        <w:spacing w:after="0" w:line="159"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When a dispute arises out of infringement of the patent owner’s patent right, Chinese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patent administration authority. In the event the patent administrative department, when handling the matter, believes there is an infringement, it may order the infringing party to cease the infringement with immediate effect. If the infringing party is not satisfied with the ruling, it may, within 15 days from the date of receiving the notification of the order, initiate legal proceedings in the people’s court in accordance with the PRC Administrative Procedure Law. If the infringing party neither takes legal action at the expiration of the time limit nor ceases the infringement, the patent administrative department may request the people’s court for a compulsory execution of the aforementioned order. A Chinese court may issue a preliminary injunction upon the patent owner’s or an interested party’s request before instituting any legal proceedings or during the proceedings. Damages for infringement are calculated as the loss suffered by the patent holder arising from the infringement or calculated as the benefit gained by the infringer from the infringement. If it is difficult to ascertain damages in this manner, damages may be determined by using a reasonable multiple of the license fee under a contractual license. Statutory damages may be awarded in the circumstances where the damages cannot be determined by the above-mentioned calculation standards. The damage calculation methods shall be applied in the aforementioned order. Generally, the patent owner has the burden of proving that the patent is being infringed. However, if the owner of an invention patent for manufacturing process of a new product alleges infringement of its patent, the alleged infringer has the burden of proof.</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had 2,292 patents granted and 548 patents applications pending in China, two patents granted and one patent pending outside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Trademark law</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PRC Trademark Law and its implementation rules protect registered trademarks. The PRC Trademark Office of State Administration for Market Regulation is responsible for the registration and administration of trademarks throughout the PRC. The PRC Trademark Law has adopted a “first-to-file” principle with respect to trademark registration.</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pursuant to the PRC Trademark Law, counterfeit or unauthorized production of the label of another person’s registered trademark, or sale of any label that is counterfeited or produced without authorization will be deemed as an infringement to the exclusive right to use a registered trademark. The infringing party will be ordered to stop the infringement immediately, a fine may be imposed and the counterfeit goods will be confiscated. The infringing party may also be held liable for the right holder’s damages, which will be calculated as the losses suffered by the right holder as a result of the infringement, and if the loss suffered by the right holder arising from the infringement cannot be determined, will be calculated as the gains obtained by the infringing party. If it is difficult to ascertain damages in this manner, damages may be determined by using a reasonable multiple of the license fee under a contractual license. The compensation amount shall include reasonable expenses incurred by the right holder for stopping the infringement. If the losses, gains or license fee are difficult to determine, the court may render a judgment awarding damage of no more than RMB5 million.</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had registered 63 trademarks in China.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Software copyright law</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PRC Copyright Law (2020 Revision) provides that Chinese citizens, legal persons, or other organizations shall, whether published or not, enjoy copyright in their works, which include, among others, works of literature, art, natural science, social science, engineering technology and computer software. The purpose of the PRC Copyright Law aims to encourage the creation and dissemination of works that are beneficial for the construction of socialist spiritual civilization and material civilization and promote the development and prosperity of Chinese culture.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order to further implement the Computer Software Protection Regulations promulgated by the State Council in 2001 and amended subsequently, the State Copyright Bureau issued the Computer Software Copyright Registration Procedures in 2002, which apply to software copyright registration, license contract registration and transfer contract registration.</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had registered 29 pieces of software copyright in China.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Regulations on domain name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Internet domain name registration and related matters are primarily regulated by Implementing Rules of National Top Level Domain Name Registration issued by China Internet Network Information Center, the domain name registrar of mainland China, effective on June 18, 2019, the Administrative Measures for Internet Domain Names, issued by the Ministry of Industry and Information Technology in August 2017 and becoming effective on November 1, 2017, and the Measures on National Top Level Domain Name Disputes Resolution issued by China Internet Network Information Center effective on June 18, 2019. Domain name registrations are handled through domain name service agencies established under the regulations, and the applicants become domain name holders upon successful registration.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had registered 17 domain names.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manufacture and sale of home appliances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Pursuant to the Regulations of the PRC Concerning Accreditation and Recognition, promulgated by the State Council, in 2003 and most recently amended in July 2023, products specified by the applicable government authorities shall not be delivered, sold, imported or used in other business activities until they are certified (or referred to as the Compulsory Product Certification) and labeled with China Compulsory Certification mark. For products that are subject to Compulsory Product Certification, the state implements unified product catalogue, unified compulsory requirements, standards and compliance assessment procedures in technical specification, unified certification marks and unified charging standards. Pursuant to the latest Compulsory Product Certification Product Catalogue promulgated by the State Administration for Market Regulation in August 2023, household and similar electrical appliances, including the water heater, range hood and water purifier, are required to obtain the Compulsory Product Certification in order to be delivered, sold, imported or used.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addition, according to the Surveillance and Administrative Measures of Drinking Water Hygiene jointly promulgated by the Ministry of Health (currently, the National Health Commission) of the PRC, and the Ministry of Construction(currently, the Ministry of Housing and Urban-Rural Development) in 1997, and most recently amended by the Ministry of Housing and Urban-Rural Development and the National Health Commission in April 2016, any entities or individuals engaging in the production of the products relating to hygiene and safety of drinking water shall apply to health administration authorities for hygiene licenses.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According to the Classification Catalogue for Products Related to Drinking Water, promulgated by the National Administration of Disease Prevention and Control on December 31, 2025, entities or individuals shall obtain a hygiene license from the disease prevention and control authorities before producing or importing only those products related to drinking water hygiene and safety that are listed in this Catalogue. Products not listed in this Catalogue are not required to obtain the hygiene administrative license, but shall undergo hygiene safety evaluation in accordance with relevant regulations.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July 2011, the Ministry of Health (currently, the National Health Commission) promulgated the Notice on Adjustment of Hygiene Administrative License for Domestic Reverse Osmosis Water Purifier and Domestic Nano Filter Water Purifier, which delegates health administrative departments at the provincial level the authority to regulate domestic reverse osmosis water purifiers and domestic nano filter water purifiers. Hereafter, the Ministry of Health and the NHFPC promulgated Regulations on Administrative License for Hygienic Safety Products involving Drinking Water at the Provincial Level, delegating the authority of examination and approval of products related to hygiene and safety of drinking water, except for those made of new materials, technology and chemicals, to the hygiene and health department at the provincial level.</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Energy Label Management Rules, jointly promulgated by the National Development and Reform Commission, and the General Administration of Qualification Supervision, Inspection and Quarantine, in 2004 and most recently amended in February 2016, provide that the products listed in the Product Catalogue for Energy Efficiency Labeling in the People’s Republic of China shall be marked with the energy-efficient labels. Manufacturers and importers of energy-using products included in such catalogue shall file a record of energy efficient labels and the relevant information with the General Administration of Qualification Supervision, Inspection and Quarantine and the China National Institute of Standardization authorized by the National Development and Reform Commission.</w:t>
      </w:r>
    </w:p>
    <w:p>
      <w:pPr>
        <w:spacing w:after="0" w:line="160"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To comply with these laws and regulations, we have obtained the certificates, licenses and labels necessary for our current products. Further, we have verified the qualifications of our manufacturing contractors for the production of the relevant products before their engagement by requiring them to provide effective licenses.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mobile internet</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Pursuant to the Provisions on the Administration of Mobile Internet Applications Information Services promulgated by the CAC in June 2016 and last amended on June 14, 2022, application providers shall obtain the relevant qualifications prescribed by laws and regulations, strictly implement their information content administrator responsibilities and carry out the duties including to authenticate the real identity information of users, establish and complete information content inspection and management mechanisms, fulfill the data security protection obligations and regulate personal information processing activities. Application distribution platform shall, within 30 days of the business going online and starting operations, conduct filing procedures with the local cybersecurity and information department. Furthermore, application providers and registered users shall sign service agreements to determinate both sides’ rights and obligations.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Furthermore, on December 16, 2016, the Ministry of Industry and Information Technology issued the Interim Measures on the Administration of Pre-Installation and Distribution of Applications for Mobile Smart Terminals effective on July 1, 2017. These measures require internet information service providers to ensure that a mobile application, as well as its ancillary resource files, configuration files and user data can be uninstalled by a user on a convenient basis, unless it is a basic function software, which refers to a software that supports the normal functioning of hardware and operating system of a mobile smart device.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Prior to the completion of the 2024 reorganization transaction and as of the date hereof, Foshan Viomi, as the operator of Viomi mobile app, is subject to the above laws and regulations as an application information services provider. After the completion of the transfer of the mobile app from Viomi to Guangdong Interconnect pursuant to the transaction documents of the 2024 reorganization transaction, Guangdong Interconnect became the operator of the mobile app and is subject to the above laws and regulations. Guangdong Interconnect is currently in compliance with these regulations in all material aspects.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Information Security and Privacy Protection</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PRC government authorities have enacted legislation on internet use to protect personal information from any unauthorized disclosure. The PRC laws do not prohibit the internet information service providers, or the ICP Operators, from collecting and using personal information from their users with the users’ consent. However, the Administrative Measures on Internet Information Services promulgated by the State Council on September 25, 2000 and last amended on December 6, 2024 prohibit an ICP Operator from insulting or slandering a third party or infringing the lawful rights and interests of a third party. The regulations further authorize the telecommunications authorities to order ICP Operators to rectify unauthorized disclosure. ICP Operators are subject to legal liability if the unauthorized disclosure results in damages or losses to users. On December 29, 2011, the Ministry of Industry and Information Technology promulgated the Several Provisions on Regulating the Market Order of Internet Information Services effective on March 15, 2012. These provisions stipulate that ICP Operators may not, without a user’s consent, collect the user’s information that can be used alone or in combination with other information to identify the user and may not provide any such information to third parties without the user’s prior consent. ICP Operators may only collect users’ personal information that is necessary to provide their services and must expressly inform the users of the method, content and purpose of the collection and use of such personal information. In addition, an ICP Operator may only use users’ personal information for the stated purposes under the ICP Operator’s scope of service. ICP Operators are also required to ensure the proper security of users’ personal information, and take immediate remedial measures if users’ personal information is suspected to have been inappropriately disclosed. If the consequences of any such disclosure are expected to be serious, ICP Operators must immediately report the incident to the telecommunications regulatory authority and cooperate with the authorities in their investigations.</w:t>
      </w:r>
    </w:p>
    <w:p>
      <w:pPr>
        <w:spacing w:after="0" w:line="18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December 28, 2012, the Standing Committee of the National People’s Congress issued the Decision on Strengthening the Protection of Online Information. Most requirements under this decision relevant to ICP Operators are consistent with the requirements already established under the Ministry of Industry and Information Technology provisions discussed above, but are often stricter and broader. Under this decision, ICP Operators are required to take such technical and other measures necessary to safeguard information against inappropriate disclosure. To further implement this decision and relevant rules, the Ministry of Industry and Information Technology issued the Regulation of Protection of Telecommunication and Internet User Information on July 16, 2013, which became effective on September 1, 2013.</w:t>
      </w:r>
    </w:p>
    <w:p>
      <w:pPr>
        <w:spacing w:after="0" w:line="176"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August 2015, the Standing Committee of the National People’s Congress promulgated the Ninth Amendment to the Criminal Law, which became effective in November 2015. The Ninth Amendment to the Criminal Law amends the standards of crime of infringing citizens’ personal information and reinforced the criminal culpability of unlawful collection, transaction, and provision of personal information. It further provides that any ICP provider that fails to fulfill the obligations related to internet information security administration as required by applicable laws and refuses to rectify upon orders will be subject to criminal liability.</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May 28, 2020, the National People’s Congress approved the Civil Code of the PRC, which came into effect on January 1, 2021. Pursuant to the Civil Code, the collection, storage, use, process, transmission, provision and disclosure of personal information should follow the principles of legitimacy, properness and necessity.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Cybersecurity Law of the PRC, which was promulgated on November 7, 2016 by the Standing Committee of the National People’s Congress and came into effect on June 1, 2017 and last amended on October 28, 2025,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 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governmental agencies. In addition, the Cybersecurity Law requires that critical information infrastructures operators generally shall store, within the territory of the PRC, the personal information and important data collected and produced during their operations in the PRC and their purchase of network products and services that affect or may affect national securities shall be subject to national cybersecurity review.</w:t>
      </w:r>
    </w:p>
    <w:p>
      <w:pPr>
        <w:spacing w:after="0" w:line="18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On November 28, 2019, the Secretary Bureau of the CAC, the General Office of the Ministry of Industry and Information Technology, the General Office of the Ministry of Public Security and the General Office of the State Administration of Market Regulation issued the Notice on the Measures for the Determination of the Collection and Use of Personal Information by Apps in Violation of Laws and Regulations. The notice requires that there shall be a privacy policy in the app, and the privacy policy shall contain the rules for collecting and using personal information. The notice also requires that the app shall prompt their users to read the privacy policy through obvious methods such as pop-up windows when an app is put into operation for the first time. According to the notice, the type of personal information collected by the app should be limited to the extent necessary to meet the operation of the corresponding business function. If personal information collected through app for a new business function is beyond the scope of a user’s previous consent, refusing to provide the original business function by the app upon the user’s disagreement with the new scope of personal information collection shall be considered as in violation of the necessity principle, except in the case where the new business function replaces the previous business function. Pursuant to the Notice on Promulgation of the Rules on the Scope of Necessary Personal Information for Common Types of Mobile Internet Applications, which was promulgated jointly by the CAC, the Ministry of Industry and Information Technology, the Ministry of Public Security and the State Administration of Market Regulation on March 12, 2021 and became effective on May 1, 2021, “necessary personal information” refers to personal information necessary for ensuring the normal operation of an application’s basic functional services. Specifically, it refers to the personal information of the consumers, excluding the personal information of the suppliers. Any mobile internet application shall not refuse users to use its basic functional services on the ground that users disagree to provide unnecessary personal information.</w:t>
      </w:r>
    </w:p>
    <w:p>
      <w:pPr>
        <w:spacing w:after="0" w:line="18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June 10, 2021, the Standing Committee of the National People’s Congress promulgated the PRC Data Security Law, which became effect in September 2021. The PRC Data Security Law provides for data security and privacy obligations on entities and individuals carrying out data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PRC Data Security Law provides a national security review procedure for those data activities which affect or may affect national security and imposes export restrictions on certain data and information.</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July 30, 2021, the State Council promulgated the Regulations on Protection of Critical Information Infrastructure, which became effective on September 1, 2021. Pursuant to the Regulations on Protection of Critical Information Infrastructure, critical information infrastructure shall mean any important network facilities or information systems of the important industry or field such as public communication and information service, energy, transportation, water conservation, finance, public services, e-government affairs and national defense science, which may endanger national security, people’s livelihood and public interest in case of damage, function loss or data leakage. In addition, the administration departments of each critical industry and sector shall be responsible to formulate eligibility criteria and determine the critical information infrastructure operator in the respective industry or sector. The operators shall be informed about the final determination as to whether they are categorized as critical information infrastructure operators.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On August 20, 2021, the Standing Committee of the National People’s Congress promulgated the Personal Information Protection Law, which came into effect on November 1, 2021. The Personal Information Protection Law integrates the scattered rules with respect to personal information rights and privacy protection. Pursuant to the Personal Information Protection Law, personal information refers to information related to identified or identifiable natural persons which is recorded by electronic or other means (excluding the anonymized information). The Personal Information Protection Law provides the circumstances under which a personal information processor could process personal information, including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and method of processing to the individuals, and the obligation of the third party who has access to the personal information by way of co-processing or delegation etc. Processors processing personal information exceeding the threshold to be set by the authorities and critical information infrastructure operators are required to store, within the territory of the PRC, the personal information collected and produced within the PRC. Specifically, personal information processors using personal information for automated decision-making shall ensure the transparency of decision-making and the fairness and impartiality of the results, and shall not impose unreasonable differential treatment on individuals in terms of pricing and other transaction conditions. The governmental authorities shall organize assessment on mobile apps’ personal information protection and publicize the outcome. The mobile apps that are identified as not in compliance with personal information protection requirements under such law may be required to suspend or terminate the services and the operators may also be subject to penalties including confiscation of illegal revenues and fines. Furthermore, the Personal Information Protection Law also provides for the rights of natural persons whose personal information is processed, and heightens the protection of the personal information of minors under 14 and sensitive personal information.</w:t>
      </w:r>
    </w:p>
    <w:p>
      <w:pPr>
        <w:spacing w:after="0" w:line="18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December 28, 2021, the CAC and multiple government authorities jointly released the Cybersecurity Review Measures effective on February 15, 2022. The Cybersecurity Review Measures stipulate that, critical information infrastructure operators that procure internet products and services and network platform operators that carry out data processing activities are subject to a cybersecurity review if their activities affect or may affect national security, and that network platform operators with personal information of over one million users shall apply with the Cybersecurity Review Office for a cybersecurity review before going to list abroad. As of the date of this annual report, we have not been informed that we are a “critical information infrastructure operator” by any government authority. However, the exact scope of “critical information infrastructure operators” under the current regulatory regime remains unclear, and the PRC government authorities may have discretion in the interpretation and enforcement of the applicable laws. Therefore, it is uncertain whether we would be deemed to be a “critical information infrastructure operator” under PRC laws. If we are deemed a “critical information infrastructure operator” under the PRC cybersecurity laws and regulations, we may be subject to obligations in addition to those with which we are currently obligated to comply. The Cybersecurity Review Measures are subject to further clarification on whether relevant requirements will be applicable to companies that are already listed in the United States, such as our company. We cannot predict the impact of the Cybersecurity Review Measures at this stage, and we will closely monitor and assess any developments in the rulemaking process.</w:t>
      </w:r>
    </w:p>
    <w:p>
      <w:pPr>
        <w:spacing w:after="0" w:line="18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December 31, 2021, the CAC, the Ministry of Industry and Information Technology, the Ministry of Public Security, and the State Administration of Market Regulation jointly promulgated the Administrative Provisions on Internet Information Service Algorithm Recommendation effective on March 1, 2022. The Administrative Provisions on Internet Information Service Algorithm Recommendation implements classification and hierarchical management for algorithm recommendation service providers based on various criteria, stipulates that algorithm recommendation service providers shall inform users of their provision of algorithm recommendation services in a conspicuous manner, and publicize the basic principles, purpose intentions, and main operating mechanisms of algorithm recommendation services in an appropriate manner, and that algorithm recommendation service providers selling goods or providing services to consumers shall protect consumers’ rights of fair trade, and are prohibited from carrying out illegal conducts such as unreasonable differential treatment on transaction conditions based on consumers’ preferences, purchasing habits, and such other characteristics.</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June 27, 2022, the CAC promulgated the Administrative Provisions on the Account Information of Internet Users, which became effective on August 1, 2022, setting out guidelines on the provision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48" w:lineRule="auto"/>
        <w:rPr>
          <w:sz w:val="20"/>
          <w:szCs w:val="20"/>
          <w:color w:val="auto"/>
        </w:rPr>
      </w:pPr>
      <w:r>
        <w:rPr>
          <w:rFonts w:ascii="Times New Roman" w:cs="Times New Roman" w:eastAsia="Times New Roman" w:hAnsi="Times New Roman"/>
          <w:sz w:val="17"/>
          <w:szCs w:val="17"/>
          <w:color w:val="auto"/>
        </w:rPr>
        <w:t>On July 7, 2022, the CAC promulgated the Outbound Data Transfer Security Assessment Measures, which became effective on September 1, 2022. On March 22, 2024, the CAC released the Provisions on Facilitating and Regulating Cross-border Data Transfer. These rules specify the circumstances in which data processors must apply for outbound data transfer security assessment with the CAC. Pursuant to these rules, a data processor is required to apply for a CAC security assessment when: (i) a critical information infrastructure operator is transferring personal information or important data abroad, (ii) a data processor other than a critical information infrastructure operator transferring important data abroad, or is transferring abroad personal information (excluding sensitive personal information) of over one million individuals or sensitive personal information of over 10,000 individuals on a cumulative basis starting from January 1 of the current year; or (iii) other circumstances where the security assessment of data cross-border transfer is required as prescribed by the CAC. In addition, if a data processor other than a critical information infrastructure operator transfers abroad personal information (excluding sensitive personal information) of more than 100,000 but less than one million individuals, or the sensitive personal information of less than 10,000 individuals on a cumulative basis starting from January 1 of the current year, it must conclude a standard contract with the overseas recipient or undergo the authentication on the protection of personal information pursuant to the laws and regulations. The Provisions on Facilitating and Regulating Cross-border Data Transfer also set out exemptions from the security assessment, the conclusion of the standard contract, and the authentication for protection of personal information. These exemptions apply when the outbound transfer of personal information by a data processor falls within any of the following circumstances: (i) where it is truly necessary to transfer personal information abroad for the purpose of executing and performing a contract to which the individual is a concerned party, such as cross-border shopping, cross-border consignment, cross-border remittance, cross-border payment, cross-border account opening, air ticket and hotel reservation, visa application, and examination services; (ii) where it is truly necessary to provide employees’ personal information abroad for the purpose of cross-border human resources management under lawfully established labor rules and regulations and pursuant to a lawfully executed collective contract; (iii) where it is truly necessary to transfer any personal information abroad in an emergency for the purpose of protecting the health, life, and property safety of a natural person; or (iv) where a data processor other than a critical information infrastructure operator transfers abroad the personal information (excluding sensitive personal information) of less than 100,000 individuals on a cumulative basis starting from January 1 of the current year. However, since the Outbound Data Transfer Security Assessment Measures and the Provisions on Facilitating and Regulating Cross-border Data Transfer were newly promulgated, these rules will be subject to further implementation and interpretation. The identification of “outbound data transfer” and “important data” is subject to further clarification. These bring more uncertainties with respect to the application and enforcement of the measures, and we may be subject to such outbound data security assessment with the CAC.</w:t>
      </w:r>
    </w:p>
    <w:p>
      <w:pPr>
        <w:spacing w:after="0" w:line="19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September 24, 2024, the State Council issued the Regulations on the Network Data Security, which became effective on January 1, 2025. The Regulations on the Network Data Security is not only the first at the administrative regulation level specifically for network data security, but it also serves as a comprehensive implementing regulation for the compliance requirements set out by the Cybersecurity Law, Data Security Law, and Personal Information Protection Law. The Regulations on the Network Data Security introduces several key obligations, including requiring network data handlers to specify the purpose and method of personal information processing, as well as the types of personal information involved, before any personal information is handled. It also clarifies definitions for important data, outlines the obligations of those handling important data, establishes broader contractual requirements for data sharing between data handlers, and introduces a new exemption for regulatory obligations regarding cross-border data transfers. It remains to be seen how this regulation will be interpreted and implemented, and to what extent it will affect our operations.</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To comply with these laws and regulations, we have adopted security policies and measures to protect our cyber system and user information. In addition, we have required our users to consent to our collecting and using their personal information, and established information security systems to protect users’ privacy.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employment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PRC Labor Law, which became effective in 1995 and was most recently amended on December 29, 2018, and the PRC Employment Contract Law, which became effective on January 1, 2008 and was most recently amended on December 28, 2012 provide requirements concerning employment contracts between an employer and its employees, namely, employers must execute written labor contracts with full-time employees and regulate employee/employer rights and obligations.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day following the lapse of one month from the date of establishment of the employment relationship to the day prior to the execution of the written employment contract. The PRC Labor Contract Law and its implementation rules also require compensation to be paid upon certain terminations, which significantly affects the cost of reducing workforce for employers. In addition, if an employer intends to enforce a non-compete provision in an employment contract or non-competition agreement with an employee, it has to compensate the employee on a monthly basis during the term of the restriction period after the termination or expiry of the labor contract. Employers in most cases are also required to provide severance payment to their employees after their employment relationships are terminated.</w:t>
      </w:r>
    </w:p>
    <w:p>
      <w:pPr>
        <w:spacing w:after="0" w:line="181"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PRC Social Insurance Law, which became effective on July 1, 2011 and was most recently amended on December 29, 2018, an employer that fails to make social insurance contributions may be ordered to pay the required contributions within a stipulated deadline and be subject to a late fee. If the employer still fails to rectify the failure to make social insurance contributions within the stipulated deadline, it may be subject to a fine ranging from one to three times the amount overdue. In addition, social insurance contributions payable by an employee shall be paid on his or her behalf by the employer through transfer from wage deduction, and the employer shall notify each employee of details of social insurance contributions to his or her account on a monthly basis. According to the Regulations on Management of Housing Fund, which became effective on April 3, 1999 and was most recently amended on March 24, 2019, when employing new staff or workers, the units shall undertake housing fund payment and deposit registration at the housing fund management center within 30 days from the date of the employment, and the housing fund to be paid and deposited by an individual staff member or worker shall be withheld from his salary by the unit for which he serves. An enterprise that fails to make housing fund contributions may be ordered to rectify the noncompliance and pay the required contributions within a stipulated deadline; otherwise, an application may be made to a local court for compulsory enforcement.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tax</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PRC enterprise income tax</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Pursuant to the PRC Enterprise Income Tax Law, which became effective on January 1, 2008 and was most recently amended on December 29, 2018, and the Implementing Regulations of the Law of the People’s Republic of China on Enterprise income Tax, which became effective on January 1, 2008 and was last amended on December 6, 2024, enterprises and other organizations receiving income are the taxpayers of enterprise income tax and shall pay enterprise income tax in accordance with the provisions of such laws and regulations. The PRC Enterprise Income Tax Law imposes a uniform enterprise income tax rate of 25% on all PRC resident enterprises, including foreign-invested enterprises, unless they qualify for certain exceptions. The enterprise income tax is calculated based on the PRC resident enterprise’s global income as determined under PRC tax laws and accounting standards. If a non-resident enterprise sets up an organization or establishment in the PRC, it will be subject to enterprise income tax for the income derived from such organization or establishment in the PRC and for the income derived from outside the PRC but with an actual connection with such organization or establishment in the PRC.</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According to the PRC Enterprise Income Tax Law, the enterprise income tax rate of a high and new technology enterprise is 15%. The Administrative Rules for the Certification of High and New Technology Enterprises, which became effective on January 1, 2008 and was amended on January 29, 2016, specify the criteria and procedures for the certification of High and New Technology Enterprises and stipulate that the certificate of a high and new technology enterprise is valid for three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Pursuant to the Announcement of the State Administration of Taxation on Issuing the Administrative Measures for Special Tax Adjustment and Investigation and Mutual Consultation Procedures effective on May 1, 2017, the tax authorities shall adopt means such as examination of declarations of related party transactions, management of contemporaneous documentation and monitoring of profit level, to implement monitoring and administration of special tax adjustment for enterprises; an enterprise may adjust and pay taxes at its own discretion when it receives a special tax adjustment risk warning or identifies its own special tax adjustment risks; and the tax authorities may also carry out special tax investigation and adjustment in accordance with the provisions in regard to enterprises that adjust and pay taxes at their own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PRC value added tax</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Pursuant to the Value-Added Tax Law of the PRC, adopted by the Standing Committee of the National People’s Congress on December 25, 2024 and effective on January 1, 2026, and its implementation regulations, any entities and individuals that sell goods, sell services, intangible assets, or immovables, or import goods are taxpayers of value-added tax and are required to pay value-added tax. Unless provided otherwise, the value-added tax rate is 6% for general taxpayers selling services and intangible assets. On March 20, 2019, the Ministry of Finance, the State Administration of Taxation and the General Administration of Customs promulgated the Announcement on Policies to Deepen Value-Added Tax Reform, which provides that the applicable value-added tax rate for taxable sales or imports by a general taxpayer of value-added tax shall be 13% and 9%, commencing on April 1, 2019.</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According to the Measures for the Administration of VAT and Consumption Tax Refund (Exemption) for Export Business issued by the State Administration of Taxation and effective on January 1, 2026, unless otherwise provided by law, for the goods as exported via an export agency, the exporter may, after the export declaration and the conclusion of financial settlement for sales, file a declaration for VAT and consumption tax refund (exemption) with the competent tax authority on the strength of the relevant certificates.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PRC dividend withholding tax</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Pursuant to an Arrangement Between the Mainland of China and the Hong Kong Special Administrative Region for the Avoidance of Double Taxation on Income, and other applicable PRC laws, if a Hong Kong resident enterprise is determined by the competent PRC tax authority to have satisfied the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issued in 2009 by the State Administration of Taxation, if the PRC tax authorities determine, in their discretion, that a company benefits from such reduced income tax rate due to a structure or arrangement that is primarily tax-driven, such PRC tax authorities may adjust the preferential tax treatment; and based on the Announcement on Certain Issues with Respect to the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in Tax Treaties, which was issued on February 3, 2018 and became effective on April 1, 2018, the business activities conducted by the applicant do not constitute substantive business activities is one of the factors which are not conductive to the determination of an applicant’s status as a “beneficial owner”, and thus are not entitled to the above-mentioned reduced income tax rate of 5% under the Double Tax Avoidance Arrangement.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exchange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principal regulations governing foreign currency exchange in China are the Foreign Exchange Administration Regulations, most recently amended on August 5, 2008. Under the Foreign Exchange Administration Regulations, payments of current account items, such as profit distributions and trade and service-related foreign exchange transactions, can be made in foreign currencies without prior approval from the SAFE, by complying with certain procedural requirements. However, approval from or registration with appropriate government authorities is required where RMB is to be converted into foreign currency and remitted out of China to pay capital expenses such as the repayment of foreign currency-denominated loans.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March 30, 2015, the SAFE issued the Circular on Reforming the Administration Measures on Conversion of Foreign Exchange Registered Capital of Foreign-invested Enterprises, which took effective on June 1, 2015 and was amended on December 30, 2019 and March 23, 2023. Although this circular allows for the use of RMB converted from the foreign currency-denominated capital for equity investments in China, the restrictions continue to apply as to foreign-invested enterprises’ use of the converted RMB for purposes beyond the business scope, for entrusted loans (unless permitted by the business scope) or for inter-company RMB loans. The SAFE promulgated the Circular of the State Administration of Foreign Exchange on Reforming and Standardizing the Foreign Exchange Settlement Management Policy of Capital Account effective on June 9, 2016, which reiterates some of the rules set forth in the Circular on Reforming the Administration Measures on Conversion of Foreign Exchange Registered Capital of Foreign-invested Enterprises, but changes the prohibition against using RMB capital converted from foreign currency-denominated registered capital of a foreign-invested company to issue RMB entrusted loans to a prohibition against using such capital to issue loans to non-affiliated enterprises. Violations of circulars above could result in administrative penalties.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November 19, 2012, the SAFE promulgated the Circular of Further Improving and Adjusting Foreign Exchange Administration Policies on Foreign Direct Investment, which substantially amends and simplifies the current foreign exchange procedure. Pursuant to this circular, the opening of various special purpose foreign exchange accounts (e.g., pre-establishment expenses accounts, foreign exchange capital accounts and guarantee accounts), the reinvestment of lawful incomes derived by foreign investors in China (e.g.,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the SAFE approval, and multiple capital accounts for the same entity may be opened in different provinces, which was not possible before. In addition, the SAFE promulgated the Circular on Printing and Distributing the Provisions on Foreign Exchange Administration over Domestic Direct Investment by Foreign Investors and the Supporting Documents in May 2013, which specifies that the administration by the SAFE or its local branches over direct investment by foreign investors in the PRC shall be conducted by way of registration, and banks shall process foreign exchange business relating to the direct investment in China based on the registration information provided by the SAFE and its branches.</w:t>
      </w:r>
    </w:p>
    <w:p>
      <w:pPr>
        <w:spacing w:after="0" w:line="18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February 13, 2015, the SAFE promulgated the Circular on Further Simplifying and Improving the Policies Concerning Foreign Exchange Control on Direct Investment, which took effect on June 1, 2015 and was amended on December 30, 2019. The circular delegates the authority to enforce the foreign exchange registration in connection with the inbound and outbound direct investment under the SAFE rules to certain banks and therefore further simplifies the foreign exchange registration procedures for inbound and outbound direct investment. On September 12, 2025, the SAFE issued the Circular of the State Administration of Foreign Exchange on Matters Concerning Deepening the Reform of Foreign Exchange Administration for Cross-Border Investment and Financing, effective on September 15, 2025, which further simplifies foreign exchange procedures by, among other things, eliminating the registration requirements for pre-establishment expenses and domestic reinvestment, permitting foreign exchange profits to be directly used for domestic reinvestment, and removing the restriction on using capital funds to purchase non-self-use residential real estate.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foreign exchange registration of offshore investment by PRC residents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July 4, 2014, the SAFE issued the Circular on Relevant Issues Concerning Foreign Exchange Control on Domestic Residents’ Offshore Investment and Financing and Roundtrip Investment through Special Purpose Vehicles, or SAFE Circular 37, and its implementation guidelines. Pursuant to SAFE Circular 37 and its implementation guidelines, PRC residents (including PRC institutions and individuals) must register with local branches of the SAFE in connection with their direct or indirect offshore investment in an overseas special purpose vehicle, or SPV, directly established or indirectly controlled by PRC residents for the purposes of offshore investment and financing with their legally owned assets or interests in domestic enterprises, or their legally owned offshore assets or interests. Such PRC residents are also required to amend their registrations with the SAFE when there is a change to the basic information of the SPV, such as changes of a PRC resident individual shareholder, the name or operating period of the SPV, or when there is a significant change to the SPV, such as changes of the PRC individual resident’s increase or decrease of its capital contribution in the SPV, or any share transfer or exchange, merger or division of the SPV. Failure to comply with the registration procedures set forth in the Circular 37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company or PRC residents to penalties under PRC foreign exchange administration regulations.</w:t>
      </w:r>
    </w:p>
    <w:p>
      <w:pPr>
        <w:spacing w:after="0" w:line="181"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Mr. Xiaoping Chen has completed his initial registrations with the local branch of the SAFE and all the PRC resident shareholders shall register or amend their existing registrations with the local branch of the SAFE in connection with the equity interest of our company held by them directly or indirectly through the trust arrangements adopted in 2020. See “</w:t>
      </w:r>
      <w:r>
        <w:rPr>
          <w:rFonts w:ascii="Times New Roman" w:cs="Times New Roman" w:eastAsia="Times New Roman" w:hAnsi="Times New Roman"/>
          <w:sz w:val="17"/>
          <w:szCs w:val="17"/>
          <w:i w:val="1"/>
          <w:iCs w:val="1"/>
          <w:color w:val="auto"/>
        </w:rPr>
        <w:t>Item 6. Directors, Senior Management and Employees—E. Share Ownership</w:t>
      </w:r>
      <w:r>
        <w:rPr>
          <w:rFonts w:ascii="Times New Roman" w:cs="Times New Roman" w:eastAsia="Times New Roman" w:hAnsi="Times New Roman"/>
          <w:sz w:val="17"/>
          <w:szCs w:val="17"/>
          <w:color w:val="auto"/>
        </w:rPr>
        <w:t>.” for a summary of the trust arrangements.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employee share incentive plan of overseas publicly listed company</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On February 15, 2012, the SAFE issued the Notices on Issues concerning the Foreign Exchange Administration for Domestic Individuals Participating in Stock Incentive Plans of Overseas Publicly Listed Companies, pursuant to which, PRC residents who are granted shares or stock options by companies listed on overseas stock exchanges according to the stock incentive plans are required to register with the SAFE or its local branches, and PRC residents participating in the stock incentive plans of overseas listed companies shall retain a qualified PRC agent, which could be a PRC subsidiary of such overseas publicly listed company or another qualified institution selected by such PRC subsidiary, to conduct the SAFE registration and other procedures with respect to the stock incentive plans on behalf of these participants. Such participants must also retain an overseas entrusted institution to handle matters in connection with their exercise of stock options, purchase and sale of corresponding stocks or interests, and fund transfer. In addition, the PRC agents are required to amend the SAFE registration with respect to the stock incentive plan if there is any material change to the stock incentive plan, the PRC agents or the overseas entrusted institution, or other material changes. The PRC agents shall, on behalf of the PRC residents who have the right to exercise the employee share options, apply to the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the PRC agents shall file each quarter the form for record-filing of information of the Domestic Individuals Participating in the Stock Incentive Plans of Overseas Listed Companies with the SAFE or its local branches.</w:t>
      </w:r>
    </w:p>
    <w:p>
      <w:pPr>
        <w:spacing w:after="0" w:line="17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PRC citizen employees who have been granted share options or restricted shares, or PRC grantees, are subject to the Notices on Issues concerning the Foreign Exchange Administration for Domestic Individuals Participating in Stock Incentive Plans of Overseas Publicly Listed Companies. If we or our PRC grantees fail to comply with these notices and the Individual Foreign Exchange Rule, we and/or our PRC grantees may be subject to fines and other legal sanctions. We may also face regulatory uncertainties that could restrict our ability to adopt additional share incentive plans for our directors and employees under PRC laws. In addition, the State Administration for Taxation has issued certain circulars concerning employee share awards. Under these circulars, our employees working in the PRC who exercise share options or hold the vested restricted shares will be subject to PRC individual income tax. Our PRC subsidiaries and VIEs have obligations to file documents related to employee share options or restricted shares with the tax authorities and to withhold individual income taxes of those employees who exercise their share options or hold the vested restricted shares. If our employees fail to pay or we fail to withhold their income taxes according to the laws and regulations, we may face sanctions imposed by the tax authorities or other PRC government authorities.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Regulations on dividend distributions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principal regulations governing the distribution of dividends paid by wholly foreign-owned enterprises include:</w:t>
      </w:r>
    </w:p>
    <w:p>
      <w:pPr>
        <w:spacing w:after="0" w:line="208" w:lineRule="exact"/>
        <w:rPr>
          <w:sz w:val="20"/>
          <w:szCs w:val="20"/>
          <w:color w:val="auto"/>
        </w:rPr>
      </w:pPr>
    </w:p>
    <w:p>
      <w:pPr>
        <w:ind w:left="900" w:hanging="294"/>
        <w:spacing w:after="0" w:line="27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Company Law (1993), as amended in 1999, 2004, 2005, 2013 and 2018, with the most recent amendment adopted in 2023 and becoming effective on July 1, 2024;</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Foreign Investment Law (2020);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Regulations on the PRC Foreign Investment Law (2020).</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Under these laws and regulations, foreign-invested enterprises in China may pay dividends only out of their accumulated profits, if any, determined in accordance with PRC accounting standards and regulations. In addition, a wholly foreign-owned enterprise in China is required to set aside at least 10.0% of its after-tax profit based on PRC accounting standards each year to its general reserves until the accumulative amount of such reserves reach 50.0% of its registered capital. These reserves are not distributable as cash dividends.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780" w:hanging="779"/>
        <w:spacing w:after="0"/>
        <w:tabs>
          <w:tab w:leader="none" w:pos="78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Organizational Structure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diagram illustrates our corporate structure, including our significant subsidiaries and VIEs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6973570" cy="41630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73570" cy="416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ind w:left="300" w:hanging="299"/>
        <w:spacing w:after="0" w:line="274"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Chen holds 99% of the equity interests in Beijing Viomi, and Zhuhai Yungui Enterprise Management Consulting Partnership (Limited Partnership), a limited partnership controlled and managed by Mr. Chen, holds the remaining 1%.</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Foshan Viomi holds 100% of equity interests in Guangdong Interconnect Electric Appliances Technology Co., Ltd.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Arrangements with Our VIEs and Their Shareholders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 series of contractual agreements have been entered into by and among our WFOEs, our VIEs and their respective shareholders, including (i) shareholder voting proxy agreements, which provide us with effective control over our VIEs in China, (ii) exclusive consultation and service agreements, which allow us to receive economic benefits from our VIEs in China, (iii) exclusive option agreements, which provide us with the option to purchase the equity interests in, and assets of, our VIEs, and (iv) equity pledge agreements, under which the shareholders of our VIEs have pledged 100% equity interests in our VIEs to our WFOEs to secure shareholders’ obligations under the exclusive option agreements, the shareholder voting proxy agreements and the equity pledge agreements. Terms contained in each set of contractual arrangements with our VIEs and their respective shareholders are substantially similar.</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WFOEs currently include WFOE I and WFOE II. Prior to the completion of the 2024 reorganization transaction, our WFOEs include WFOE I and the former WFOE. Our VIEs currently include Beijing Viomi and Guangdong Interconnect. Prior to the completion of the 2024 reorganization transaction, our VIEs include Beijing Viomi and Foshan Viomi.</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Specifically, after the completion of our 2024 reorganization transaction, we have terminated the contractual arrangements between the former WFOE, and Foshan Viomi, which has resulted in Foshan Viomi’s shareholder, Mr. Xiaoping Chen, fully controlling Foshan Viomi and its subsidiaries including Foshan Xiaoxian Hulian Electric Appliances Technology Co., Ltd., Foshan Qutansuo Electric Technology Co., Ltd., Guangdong AI Touch Technology Co., Ltd., and Zhuawa Technology (Guangdong) Co., Ltd. Additionally, WFOE II and Guangdong Interconnect have enter into a new set of contractual arrangements, as a result of which the Company has controlled Guangdong Interconnect and consolidated its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that provide us with effective control over our VIEs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Shareholder Voting Proxy Agreements. </w:t>
      </w:r>
      <w:r>
        <w:rPr>
          <w:rFonts w:ascii="Times New Roman" w:cs="Times New Roman" w:eastAsia="Times New Roman" w:hAnsi="Times New Roman"/>
          <w:sz w:val="17"/>
          <w:szCs w:val="17"/>
          <w:color w:val="auto"/>
        </w:rPr>
        <w:t>Our WFOE I, Foshan Viomi and Mr. Xiaoping Chen, who was then the sole shareholder of Foshan Viomi, entered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into a Shareholder Voting Proxy Agreement on September 5, 2018, or the </w:t>
      </w:r>
      <w:r>
        <w:rPr>
          <w:rFonts w:ascii="Times New Roman" w:cs="Times New Roman" w:eastAsia="Times New Roman" w:hAnsi="Times New Roman"/>
          <w:sz w:val="17"/>
          <w:szCs w:val="17"/>
          <w:b w:val="1"/>
          <w:bCs w:val="1"/>
          <w:color w:val="auto"/>
        </w:rPr>
        <w:t>Original Shareholder Voting Proxy Agreement</w:t>
      </w:r>
      <w:r>
        <w:rPr>
          <w:rFonts w:ascii="Times New Roman" w:cs="Times New Roman" w:eastAsia="Times New Roman" w:hAnsi="Times New Roman"/>
          <w:sz w:val="17"/>
          <w:szCs w:val="17"/>
          <w:color w:val="auto"/>
        </w:rPr>
        <w:t>. On April 28, 2020, WFOE I, Foshan Viomi and Mr. Xiaoping Chen entered into a Termination Agreement, which terminated the Original Shareholder Voting Proxy Agreement. On the same date, the former WFOE, Foshan Viomi and shareholders of Foshan Viomi entered into a Shareholder Voting Proxy Agreement with provisions substantially the same as the Original Shareholder Voting Proxy Agreement. On July 19, 2024, the former WFOE, Foshan Viomi and shareholders of Foshan Viomi entered into a Termination Agreement, which terminated the Shareholder Voting Proxy Agreement.</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July 21, 2015, our WFOE I, Beijing Viomi and each of the shareholders of Beijing Viomi entered into a Shareholder Voting Proxy Agreement, which was subsequently amended and restated on March 20, 2026. Pursuant to the amended and restated Shareholder Voting Proxy Agreement, each shareholder of Beijing Viomi has irrevocably authorized any person designated by our WFOE I to act as his attorney-in-fact to exercise all of his rights as a shareholder of Beijing Viomi, including, but not limited to, the right to convene and attend shareholders’ meetings, vote on any resolution that requires a shareholder vote, such as the appointment and election of directors, and other senior management personnel who shall be appointed or removed by the shareholders as well as the sale or transfer of all or part of the equity interests owned by such shareholder. Such shareholder voting proxy agreements will remain effective, unless otherwise terminated in advance pursuant to agreement in writing from all parties.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July 20, 2024, our WFOE II, Guangdong Interconnect and the sole shareholder of Guangdong Interconnect entered into a Shareholder Voting Proxy Agreement which contains terms substantially similar to the Shareholder Voting Proxy Agreement executed by the shareholders of Beijing Viomi described above.</w:t>
      </w:r>
    </w:p>
    <w:p>
      <w:pPr>
        <w:spacing w:after="0" w:line="15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Equity Pledge Agreements</w:t>
      </w:r>
      <w:r>
        <w:rPr>
          <w:rFonts w:ascii="Times New Roman" w:cs="Times New Roman" w:eastAsia="Times New Roman" w:hAnsi="Times New Roman"/>
          <w:sz w:val="17"/>
          <w:szCs w:val="17"/>
          <w:color w:val="auto"/>
        </w:rPr>
        <w:t>. Our WFOE I, Foshan Viomi and Mr. Xiaoping Chen entered into an Equity Pledge Agreement on September 5, 2018, 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Original Equity Pledge Agreement</w:t>
      </w:r>
      <w:r>
        <w:rPr>
          <w:rFonts w:ascii="Times New Roman" w:cs="Times New Roman" w:eastAsia="Times New Roman" w:hAnsi="Times New Roman"/>
          <w:sz w:val="17"/>
          <w:szCs w:val="17"/>
          <w:color w:val="auto"/>
        </w:rPr>
        <w:t>. On April 28, 2020, WFOE I, Foshan Viomi and Mr. Xiaoping Chen entered into a Termination Agreement, which terminated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Original Equity Pledge Agreement. On the same date, the former WFOE, Foshan Viomi and shareholders of Foshan Viomi entered into an Equity Pledge Agreement with provisions substantially the same as the Original Shareholder Voting Proxy Agreement. On July 19, 2024, the former WFOE, Foshan Viomi and shareholders of Foshan Viomi entered into a Termination Agreement, which terminated the Equity Pledge Agreement.</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July 21, 2015, our WFOE I, Beijing Viomi and each of the shareholders of Beijing Viomi entered into an Equity Pledge Agreement, which was subsequently amended and restated on March 20, 2026. Pursuant to the amended and restated Equity Pledge Agreement, the shareholders of Beijing Viomi have pledged 100% equity interests in Beijing Viomi to our WFOE I to guarantee the performance by the shareholders of their obligations under the Exclusive Option Agreement, the Shareholder Voting Proxy Agreement and the Equity Pledge Agreement, as well as the performance by Beijing Viomi of its obligations under the Exclusive Option Agreement, the Shareholder Voting Proxy Agreement, the Exclusive Consultation and Service Agreement and the Equity Pledge Agreement. In the event of a breach by Beijing Viomi or any shareholder of contractual obligations under the Equity Pledge Agreement, our WFOE I, as pledgee, will have the right to dispose of the pledged equity interests in Beijing Viomi and will have priority in receiving the proceeds from such disposal. The shareholders of Beijing Viomi also undertake that, without the prior written consent of our WFOE I, the shareholders will not dispose of, create or allow any encumbrance on the pledged equity interests. Beijing Viomi undertakes that, without the prior written consent of our WFOE I, they will not assist or allow any encumbrance to be created on the pledged equity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WFOE II, Guangdong Interconnect and the sole shareholder of Guangdong Interconnect entered into an Equity Pledge Agreement on July 20, 2024 and a Supplemental Agreement on July 26, 2024, which contain terms substantially similar to the Equity Pledge Agreement executed by the shareholders of Beijing Viomi described above.</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completed the registration of the equity pledge with the competent office of the State Administration for Market Regulation in accordance with the PRC Civil Code.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Agreements that allow us to receive economic benefits from our VIEs</w:t>
      </w:r>
    </w:p>
    <w:p>
      <w:pPr>
        <w:spacing w:after="0" w:line="208" w:lineRule="exact"/>
        <w:rPr>
          <w:sz w:val="20"/>
          <w:szCs w:val="20"/>
          <w:color w:val="auto"/>
        </w:rPr>
      </w:pPr>
    </w:p>
    <w:p>
      <w:pPr>
        <w:jc w:val="both"/>
        <w:ind w:firstLine="605"/>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Exclusive Consultation and Service Agreements. </w:t>
      </w:r>
      <w:r>
        <w:rPr>
          <w:rFonts w:ascii="Times New Roman" w:cs="Times New Roman" w:eastAsia="Times New Roman" w:hAnsi="Times New Roman"/>
          <w:sz w:val="16"/>
          <w:szCs w:val="16"/>
          <w:color w:val="auto"/>
        </w:rPr>
        <w:t>Our WFOE I and Foshan Viomi entered into an Exclusive Consultation Service Agreement on July 21,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2015, or the Original Exclusive Consultation and Service Agreement. On April 28, 2020, WFOE I and Foshan Viomi entered into a Termination Agreement, which terminated the Original Exclusive Consultation and Service Agreement. On the same day, the former WFOE and Foshan Viomi entered into an Exclusive Consultation and Service Agreement with provisions substantially the same as the Original Exclusive Consultation and Service Agreement. On July 19, 2024, the former WFOE, Foshan Viomi and shareholders of Foshan Viomi entered into a Termination Agreement, which terminated the Exclusive Consultation and Service Agreement.</w:t>
      </w:r>
    </w:p>
    <w:p>
      <w:pPr>
        <w:spacing w:after="0" w:line="160"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July 21, 2015, our WFOE I and Beijing Viomi entered into an Exclusive Consultation and Service Agreement. Pursuant to the Exclusive Consultation and Service Agreement, our WFOE I has the right to provide Beijing Viomi with the software technology development, technology consulting and technical services required by Beijing Viomi’s business. Without our WFOE I’s prior written consent, Beijing Viomi may not accept any same or similar services subject to this agreement from any third party. Beijing Viomi agrees to pay our WFOE I an annual service fee at an amount that is equal to 100% of its annual net income or the amount which is adjusted in accordance with our WFOE I’s sole discretion for the relevant year as well as the mutually agreed amount for certain other technical services, both of which should be paid within three months after the end of the relevant calendar year. Our WFOE I has the exclusive ownership of all the intellectual property rights created as a result of the performance of the Exclusive Consultation and Service Agreement, to the extent permitted by applicable PRC laws. To guarantee Beijing Viomi’s performance of its obligations thereunder, the shareholders have pledged 100% equity interests in Beijing Viomi to our WFOE I pursuant to the Equity Pledge Agreement. The Exclusive Consultation and Service Agreement will remain effective for an indefinite term, unless otherwise terminated pursuant to mutual agreement in writing or applicable PRC laws.</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July 20, 2024, our WFOE II and Guangdong Interconnect entered into an Exclusive Consultation and Service Agreement which contains terms substantially similar to the Exclusive Consultation and Service Agreement executed by the shareholders of Beijing Viomi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that provide us with the option to purchase the equity interests in and assets of our VIEs</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Exclusive Option Agreements. </w:t>
      </w:r>
      <w:r>
        <w:rPr>
          <w:rFonts w:ascii="Times New Roman" w:cs="Times New Roman" w:eastAsia="Times New Roman" w:hAnsi="Times New Roman"/>
          <w:sz w:val="17"/>
          <w:szCs w:val="17"/>
          <w:color w:val="auto"/>
        </w:rPr>
        <w:t>Our WFOE I, Foshan Viomi and Mr. Xiaoping Chen entered into an Exclusive Option Agreement on September 5, 2018,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Original Exclusive Option Agreement</w:t>
      </w:r>
      <w:r>
        <w:rPr>
          <w:rFonts w:ascii="Times New Roman" w:cs="Times New Roman" w:eastAsia="Times New Roman" w:hAnsi="Times New Roman"/>
          <w:sz w:val="17"/>
          <w:szCs w:val="17"/>
          <w:color w:val="auto"/>
        </w:rPr>
        <w:t>. On April 28, 2020, WFOE I, Foshan Viomi and Mr. Xiaoping Chen entered into a Termination Agreement, which terminated the Original Exclusive Option Agreement. On the same day, the former WFOE, Foshan Viomi and shareholders of Foshan Viomi entered into an Exclusive Option Agreement with provisions substantially the same as the Original Shareholder Voting Proxy Agreement. On July 19, 2024, the former WFOE, Foshan Viomi and shareholders of Foshan Viomi entered into a Termination Agreement, which terminated the Exclusive Option Agreement.</w:t>
      </w:r>
    </w:p>
    <w:p>
      <w:pPr>
        <w:spacing w:after="0" w:line="176"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On July 21, 2015, our WFOE I, Beijing Viomi and each of the shareholders of Beijing Viomi entered into an Exclusive Option Agreement, which was subsequently amended and restated on March 20, 2026. Pursuant to the amended and restated Exclusive Option Agreement, the shareholders of Beijing Viomi have irrevocably granted our WFOE I an exclusive option to purchase all or part of such shareholders’ equity interests in Beijing Viomi, and Beijing Viomi has irrevocably granted our WFOE I an exclusive option to purchase all or part of its assets. Our WFOE I or its designated person may exercise such options to purchase equity at their respective paid-in registered capital in Beijing Viomi, or the lowest price permitted under applicable PRC laws, whichever lower. Our WFOE I or its designated person may exercise such options to purchase assets at the lowest price permitted under applicable PRC laws. The shareholders of Beijing Viomi undertake that, without our WFOE I’s prior written consent, the shareholders will not, among other things, (i) transfer or otherwise dispose of their equity interests in Beijing Viomi,</w:t>
      </w:r>
    </w:p>
    <w:p>
      <w:pPr>
        <w:spacing w:after="0" w:line="1" w:lineRule="exact"/>
        <w:rPr>
          <w:sz w:val="20"/>
          <w:szCs w:val="20"/>
          <w:color w:val="auto"/>
        </w:rPr>
      </w:pPr>
    </w:p>
    <w:p>
      <w:pPr>
        <w:jc w:val="both"/>
        <w:ind w:firstLine="1"/>
        <w:spacing w:after="0" w:line="249" w:lineRule="auto"/>
        <w:tabs>
          <w:tab w:leader="none" w:pos="26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any pledge or encumbrance on their equity interests in Beijing Viomi, (iii) change Beijing Viomi’s registered capital, (iv) merge Beijing Viomi with any other entity, (v) dispose of Beijing Viomi’s material assets (except in the ordinary course of business), or (vi) amend Beijing Viomi’s articles of association. In addition, Beijing Viomi undertakes that, without our WFOE I’s prior written consent, it will not, among other things, create any pledge or encumbrance on any of its assets, or transfer or otherwise dispose of its material assets (except in the ordinary course of business). The Exclusive Option Agreement will remain effective until the entire equity interests in and all the assets of Beijing Viomi have been transferred to our WFOE I or its designated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WFOE II, Guangdong Interconnect and the sole shareholder of Guangdong Interconnect entered into an Exclusive Option Agreement on July 20, 2024 and a Supplemental Agreement on July 26, 2024, which contain terms substantially similar to the Exclusive Option Agreement executed by the shareholders of Beijing Viomi described above.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the opinion of Han Kun Law Offices, our PRC legal counsel:</w:t>
      </w:r>
    </w:p>
    <w:p>
      <w:pPr>
        <w:spacing w:after="0" w:line="208" w:lineRule="exact"/>
        <w:rPr>
          <w:sz w:val="20"/>
          <w:szCs w:val="20"/>
          <w:color w:val="auto"/>
        </w:rPr>
      </w:pPr>
    </w:p>
    <w:p>
      <w:pPr>
        <w:ind w:left="900" w:hanging="294"/>
        <w:spacing w:after="0"/>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structures of our VIEs in China and our WFOEs, are not in violation of applicable PRC laws and regulations currently in effect; and</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arrangements between our company, our WFOEs, our VIEs and their respective shareholders governed by PRC laws are valid, binding and enforceable, and will not result in any violation of applicable PRC laws.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our VIE are found to be in violation of any existing or future PRC laws or regulations, or fail to obtain or maintain any of the required permits or approvals, the PRC regulatory authorities would have broad discretion to take action in dealing with such violations or failures.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See “Item 3. Key Information—D. Risk Factors—Risks Related to Our Corporate Structure—If the PRC government finds that the agreements that establish the structure for operating some of our business operations in China do not comply with PRC regulations relating to the relevant industries or securities offering, or if these regulations or the interpretation of existing regulations change in the future, we could be subject to severe penalties, or be forced to relinquish our interest in those operations, or be materially and adversely affected on our ability to raise or utilize funds from future oversea offerings” and “Item 3. Key Information—D. Risk Factors—Risks Related to Doing Business in China—Failure to respond to changes in the regulatory environment in China could adversely affect us.”</w:t>
      </w:r>
    </w:p>
    <w:p>
      <w:pPr>
        <w:spacing w:after="0" w:line="156" w:lineRule="exact"/>
        <w:rPr>
          <w:sz w:val="20"/>
          <w:szCs w:val="20"/>
          <w:color w:val="auto"/>
        </w:rPr>
      </w:pPr>
    </w:p>
    <w:p>
      <w:pPr>
        <w:ind w:left="600" w:hanging="599"/>
        <w:spacing w:after="0"/>
        <w:tabs>
          <w:tab w:leader="none" w:pos="60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Property, Plant and Equipment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headquarters are located in Guangzhou, China, where we rent the office building with an aggregate floor area of approximately 1,065 square meters. Our research and development facilities and our management and operations facilities are located at our headquarters. Our R&amp;D and office space located in Viomi Technology Park in Foshan, Guangdong Province, has an aggregate floor area of approximately 30,078 square meters. Our manufacturing facility located in Viomi Technology Park, Foshan, has an aggregate floor area of approximately 45,335 square meters.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acquired land use right to a parcel of land of approximately 36,000 square meters from the local government in Shunde, Guangdong Province, for the development of Viomi Technology Park, a comprehensive high-tech industrial campus. The Viomi Technology Park is planned to host our future headquarters and IoT development and manufacturing sites. We started the construction in May 2021 by entering into an overall project consignment contract with a main contractor. The construction of the building has been completed by the second half of 2023.</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December 31, 2025, we leased and occupied approximately 1,065 square meters of office space in Guangzhou, approximately 495 square meters of office space in Beijing. These leases vary in duration from one to five years.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4A.</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OPERATING AND FINANCIAL REVIEW AND PROSPECTS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w:t>
      </w:r>
      <w:r>
        <w:rPr>
          <w:rFonts w:ascii="Times New Roman" w:cs="Times New Roman" w:eastAsia="Times New Roman" w:hAnsi="Times New Roman"/>
          <w:sz w:val="17"/>
          <w:szCs w:val="17"/>
          <w:i w:val="1"/>
          <w:iCs w:val="1"/>
          <w:color w:val="auto"/>
        </w:rPr>
        <w:t>Item 3. Key Information—D. Risk Factors</w:t>
      </w:r>
      <w:r>
        <w:rPr>
          <w:rFonts w:ascii="Times New Roman" w:cs="Times New Roman" w:eastAsia="Times New Roman" w:hAnsi="Times New Roman"/>
          <w:sz w:val="17"/>
          <w:szCs w:val="17"/>
          <w:color w:val="auto"/>
        </w:rPr>
        <w:t>” or in other parts of this annual report on Form 20-F.</w:t>
      </w:r>
    </w:p>
    <w:p>
      <w:pPr>
        <w:spacing w:after="0" w:line="171" w:lineRule="exact"/>
        <w:rPr>
          <w:sz w:val="20"/>
          <w:szCs w:val="20"/>
          <w:color w:val="auto"/>
        </w:rPr>
      </w:pPr>
    </w:p>
    <w:p>
      <w:pPr>
        <w:ind w:left="600" w:hanging="599"/>
        <w:spacing w:after="0"/>
        <w:tabs>
          <w:tab w:leader="none" w:pos="60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Operating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 of Operations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Key factors affecting our results of operations include the following: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Consumption trend and adoption of AI-enabled smart home water solutions in China</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business and operating results are affected by general factors influencing China’s broader consumer products and home appliances industries, including overall macroeconomic and consumer disposable income conditions, overall consumption trends, and in particular public knowledge, acceptance and adoption of new and innovative technology such as AI technology.</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recent years, China has experienced varied economic performance, which has influenced consumer behavior and expectations for living standards. While there have been periods of economic growth, recent trends suggest a more complex economic environment, with the middle class potentially facing more economic pressures than in previous years. Chinese consumers, particularly those from the emerging middle class, who are a key demographic for our products, have shown a preference for higher-quality and innovative products. However, the extent of this preference can vary, influenced by broader economic conditions and individual financial stability. Interest in products integrating AI technology remains, reflecting a desire for advanced, modern living solutions.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While these macroeconomic and industry trends have historically supported demand for our products, their influence can be both positive and negative, reflecting the dynamic nature of the market and economic conditions. As such, while these trends have potential to drive demand, they also pose risks that could affect consumer behavior and, consequently, our business operations. Awareness of these dual potentials is essential in understanding the current and future landscape in which we operate.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 recognition and user base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products and services, together with targeted marketing and promotional efforts, as well as our strategic partnership with Xiaomi, have contributed to positive word-of-mouth and media coverage. These factors have supported our brand recognition and helped to expand our user base.</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we continue to invest in and develop our brand, we anticipate that our recognition in the market may increase, potentially leading to greater demand for our products and an expansion of our user base. This could open up further monetization opportunities and positively impact our business growth. However, the realization of these outcomes is subject to market conditions and consumer preferences, which could also pose challenges to our anticipated growth.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product launches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introduction and sales of new products, both under Viomi and Xiaomi brands, have been key elements in our strategy for our business. Over the past several years, we have launched a variety of new products and plan to continue introducing more items that incorporate advanced technologies such AI. In the domestic market, we launched the Kunlun Mineral Series under-sink water purifier, which adopts a “purification-first, mineralization-second” approach, and advocates a healthy drinking water lifestyle. In May 2025, we launched the Kunlun 4 Pro Alkaline Mineral Water purifier. This next-generation water purifier harnesses AI technology to replicate the natural mineral water formation process, aiming to elevate household drinking water from the era of “pure water” to the new era of “pure mineral water,” and offering a solution for families seeking mineral-rich drinking water at home. In overseas markets, we are rolling out a more diverse range of products, taking into account the drinking water habits of different countries as well as channel-specific attributes. In September 2025, we launched the Master 1 mineral water purifier on Amazon. This product is equipped with a nine-stage precision filtration and an AI-powered interactive faucet, further enriching our product portfolio. In October 2025, we launched the Inno mineral water dispenser in Malaysia, tailored for the local market and featuring both mineralization and cooling functions.</w:t>
      </w:r>
    </w:p>
    <w:p>
      <w:pPr>
        <w:spacing w:after="0" w:line="183"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strategy includes fostering growth through repeat customer purchases, and the monetization of our consumable products and value-added services. However, the success of these strategies is contingent upon market reception, consumer preferences, and the competitive landscape, which may, in turn, affect our business performance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R&amp;D, marketing and brand promotion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success is significantly dependent on our ability to continually bring to market products and services that are popular among consumers, particularly relative to those offered by our competitors. Accordingly, we dedicate significant resources towards research and development. For the years ended December 31, 2023, 2024 and 2025, research and development expenses were RMB148.9 million, RMB142.9 million and RMB165.6 million (US$23.7 million), accounting for 9.1%, 6.7% and 6.8% of our net revenues, respectively. We have been devoting research and development resources in the areas of AI and other emerging technologies. Going forward, we will further invest in our research and development efforts as we continue to introduce new and innovative products to comprehensively address the increasing global demand for cleaner, fresher and healthier drinking water.</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Similarly, attracting new users and growing the number of our users by continuing to strengthen our brand awareness as well as educating consumers about smart water purification products as a reliable, hassle-free and affordable essential for a healthy lifestyle. For the years ended December 31, 2023, 2024 and 2025, our selling and marketing expenses were RMB214.6 million, RMB211.2 million and RMB277.7 million (US$39.7 million), accounting for 13.1%, 10.0% and 11.4% of our net revenues, respectively. Going forward, we intend to continue investing in our marketing, advertising and brand promotion efforts.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 with Xiaomi</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Xiaomi is our strategic partner, shareholder, customer and related party. Our strategic partnership with Xiaomi provides us access to Xiaomi’s ecosystem users, sales platforms and data resources and related support. Sales to Xiaomi, predominantly comprising Xiaomi-branded products, accounted for 78.9%, 82.7% and 89.6% of our net revenues in 2023, 2024 and 2025, respectively. Our strong research and development capabilities, supply chain resources and innovative products and services are able to enrich Xiaomi’s suite of offerings, resulting in a mutually beneficial relationship between Xiaomi and us.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expect the absolute amount of our revenues generated from our sales to Xiaomi to retain stable or increase going forward, since maintaining a mutually beneficial relationship with Xiaomi, including potential additional product collaborations, will continue to be important to our operations and future growth.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generally expect to experience seasonally higher sales in the second and fourth quarters, primarily attributable to the major shopping festivals and promotional activities across major e-commerce platforms in China, such as “618”, “Double Eleven” and “Double Twelve”. Given the impact of this seasonality, timely and effective forecasting and product supply and introductions for the peak seasons are critical to our operations.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Components of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Prior to our 2024 reorganization transaction, we grouped our products into four business lines, including IoT@Home portfolio products, home water solutions, consumables and small appliances and others. After the divestment of our “divested IoT@Home business in 2024, we re-grouped our products to better reflect our “</w:t>
      </w:r>
      <w:r>
        <w:rPr>
          <w:rFonts w:ascii="Times New Roman" w:cs="Times New Roman" w:eastAsia="Times New Roman" w:hAnsi="Times New Roman"/>
          <w:sz w:val="17"/>
          <w:szCs w:val="17"/>
          <w:b w:val="1"/>
          <w:bCs w:val="1"/>
          <w:color w:val="auto"/>
        </w:rPr>
        <w:t>Focus</w:t>
      </w:r>
      <w:r>
        <w:rPr>
          <w:rFonts w:ascii="Times New Roman" w:cs="Times New Roman" w:eastAsia="Times New Roman" w:hAnsi="Times New Roman"/>
          <w:sz w:val="17"/>
          <w:szCs w:val="17"/>
          <w:color w:val="auto"/>
        </w:rPr>
        <w:t>” strategy for home water solutions.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Currently, our products are grouped under the following three business lines: “home water systems,” which mainly are composed of our smart water purification products, water heaters, smart water kettles, and electric kettles, among others “consumables,” which consist of our consumable products that mainly include a range of water filters for our smart water purifiers, and “kitchen appliances and others,” which refer to range hoods, gas stoves and other small appliances, as well as product installation services and rental services.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Specifically, water heaters, smart water kettles which were previously grouped under IoT@Home portfolio products, have been re-grouped to home water systems. Electric kettles, which were previously grouped under small appliances and others, have been also re-grouped to home water systems. Range hoods, gas stoves, and other small appliances sold to Xiaomi, which were previously grouped under IoT@Home portfolio products, have been re-grouped to kitchen appliances and others.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breakdown of our net revenues by business lines both in absolute amounts and as a proportion of the net revenue for the periods indicated.</w:t>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revenues: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Home water systems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Consumables</w:t>
      </w:r>
    </w:p>
    <w:p>
      <w:pPr>
        <w:spacing w:after="0" w:line="201" w:lineRule="auto"/>
        <w:rPr>
          <w:sz w:val="20"/>
          <w:szCs w:val="20"/>
          <w:color w:val="auto"/>
        </w:rPr>
      </w:pPr>
      <w:r>
        <w:rPr>
          <w:rFonts w:ascii="Times New Roman" w:cs="Times New Roman" w:eastAsia="Times New Roman" w:hAnsi="Times New Roman"/>
          <w:sz w:val="16"/>
          <w:szCs w:val="16"/>
          <w:color w:val="auto"/>
        </w:rPr>
        <w:t>Kitchen appliances and others</w:t>
      </w:r>
      <w:r>
        <w:rPr>
          <w:rFonts w:ascii="Times New Roman" w:cs="Times New Roman" w:eastAsia="Times New Roman" w:hAnsi="Times New Roman"/>
          <w:sz w:val="27"/>
          <w:szCs w:val="27"/>
          <w:color w:val="auto"/>
          <w:vertAlign w:val="superscript"/>
        </w:rPr>
        <w:t>(1)</w:t>
      </w: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17856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r>
      <w:tr>
        <w:trPr>
          <w:trHeight w:val="207"/>
        </w:trPr>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7"/>
                <w:szCs w:val="17"/>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7"/>
                <w:szCs w:val="17"/>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8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RMB</w:t>
            </w: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380"/>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1,077,858</w:t>
            </w:r>
          </w:p>
        </w:tc>
        <w:tc>
          <w:tcPr>
            <w:tcW w:w="34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65.8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1,498,368</w:t>
            </w:r>
          </w:p>
        </w:tc>
        <w:tc>
          <w:tcPr>
            <w:tcW w:w="3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70.7</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1,686,566</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241,176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8"/>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324,738</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19.8</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277,704</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13.1</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235,388</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33,660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52"/>
        </w:trPr>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236,140</w:t>
            </w:r>
          </w:p>
        </w:tc>
        <w:tc>
          <w:tcPr>
            <w:tcW w:w="3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14.4</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342,910</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16.2</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506,272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72,396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07"/>
        </w:trPr>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1,638,736</w:t>
            </w:r>
          </w:p>
        </w:tc>
        <w:tc>
          <w:tcPr>
            <w:tcW w:w="3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3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2,118,982</w:t>
            </w:r>
          </w:p>
        </w:tc>
        <w:tc>
          <w:tcPr>
            <w:tcW w:w="3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3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2,428,226</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347,232</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-720090</wp:posOffset>
            </wp:positionV>
            <wp:extent cx="7141210" cy="135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-455930</wp:posOffset>
            </wp:positionV>
            <wp:extent cx="7141210"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-167640</wp:posOffset>
            </wp:positionV>
            <wp:extent cx="7141210" cy="152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2880" w:space="720"/>
            <w:col w:w="7640"/>
          </w:cols>
          <w:pgMar w:left="320" w:top="224" w:right="339" w:bottom="1440" w:gutter="0" w:footer="0" w:header="0"/>
          <w:type w:val="continuous"/>
        </w:sectPr>
      </w:pPr>
    </w:p>
    <w:p>
      <w:pPr>
        <w:spacing w:after="0" w:line="8" w:lineRule="exact"/>
        <w:rPr>
          <w:sz w:val="20"/>
          <w:szCs w:val="20"/>
          <w:color w:val="auto"/>
        </w:rPr>
      </w:pPr>
    </w:p>
    <w:p>
      <w:pPr>
        <w:ind w:left="300" w:hanging="299"/>
        <w:spacing w:after="0" w:line="274"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range hoods, gas stoves and other small appliances, as well as product installation services and rental services. For more details, see Note 15 to our consolidated financial statements at the end of this annual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Home water systems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core of our home water systems is smart water purification systems, which were the first product category we launched in this business line, and sales of these products have contributed a material portion of our historical revenues.</w:t>
      </w:r>
    </w:p>
    <w:p>
      <w:pPr>
        <w:spacing w:after="0" w:line="155"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In August 2024, to implement our “</w:t>
      </w:r>
      <w:r>
        <w:rPr>
          <w:rFonts w:ascii="Times New Roman" w:cs="Times New Roman" w:eastAsia="Times New Roman" w:hAnsi="Times New Roman"/>
          <w:sz w:val="17"/>
          <w:szCs w:val="17"/>
          <w:b w:val="1"/>
          <w:bCs w:val="1"/>
          <w:color w:val="auto"/>
        </w:rPr>
        <w:t>Focus</w:t>
      </w:r>
      <w:r>
        <w:rPr>
          <w:rFonts w:ascii="Times New Roman" w:cs="Times New Roman" w:eastAsia="Times New Roman" w:hAnsi="Times New Roman"/>
          <w:sz w:val="17"/>
          <w:szCs w:val="17"/>
          <w:color w:val="auto"/>
        </w:rPr>
        <w:t>” strategy for home water systems, we divested our businesses and assets involving certain IoT@Home portfolio products. Our home water system products also include water heaters, smart water kettles, and electric kettles, among others.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consumables mainly include water filters for our smart water purifiers. We offer water filters that are complementary, and often essential, to our home water systems. These products generate additional, recurring revenue streams throughout the life cycle of our home water systems. Consumers can purchase these products through our sales channels or the e-commerce platforms integrated to our home water systems. Consumers can purchase such products either through our sales channels or through the e-commerce platform embedded within various of our products. The growth of our consumable products business will depend on the size of our user base.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Kitchen appliances and others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Revenues from kitchen appliances and others include revenues from the sales of kitchen products include range hoods, gas stoves, and other small appliances, as well as revenue from rendering of services. Historically, revenues from this category have predominantly comprised of product sales.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business comprises of two key pillars: our Viomi business, predominantly comprising our Viomi-branded products, and our Xiaomi business, comprising our strategic partnership with Xiaomi. Sales to third-party channels as well as Viomi Store, our proprietary e-commerce platform, which constitute the vast majority of our Viomi-branded products business, accounted for 21.1%, 17.3% and 10.4% of our net revenues in 2023, 2024 and 2025, respectively.</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Xiaomi is our strategic partner, shareholder and customer. Our strategic partnership with Xiaomi provides us access to Xiaomi’s ecosystem users, sales platforms and data resources and related support. Sales to Xiaomi, predominantly comprising Xiaomi-branded products, historically accounted for 78.9%, 82.7% and 89.6% of our net revenues in 2023, 2024 and 2025, respectively. We sell Xiaomi-branded products directly to Xiaomi, who then on-sells these products to its customers and end-consumers.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cost of revenues primarily consists of material costs, estimated warranty costs, manufacturing and fulfillment costs, salaries and benefits for staff engaged in production activities and related expenses that are directly attributable to the production of products. We procure a variety of raw materials and components from third-party suppliers, and outsource certain manufacturing and order fulfillment activities to third parties. Our product costs fluctuate with the costs of raw materials and underlying product components as well as the prices we are able to negotiate with our contract manufacturers and raw material and component suppliers. Our cost of revenues was RMB1,116.7 million, RMB1,570.3 million and RMB1,813.2 million (US$259.3 million) for the years ended December 31, 2023,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profit margin</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Our gross profit margin is affected by changes in our product and business mix as well as our cost of revenues. Please see “</w:t>
      </w:r>
      <w:r>
        <w:rPr>
          <w:rFonts w:ascii="Times New Roman" w:cs="Times New Roman" w:eastAsia="Times New Roman" w:hAnsi="Times New Roman"/>
          <w:sz w:val="17"/>
          <w:szCs w:val="17"/>
          <w:i w:val="1"/>
          <w:iCs w:val="1"/>
          <w:color w:val="auto"/>
        </w:rPr>
        <w:t>—Key Factors Affecting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Results of Operations—Product and business mix</w:t>
      </w:r>
      <w:r>
        <w:rPr>
          <w:rFonts w:ascii="Times New Roman" w:cs="Times New Roman" w:eastAsia="Times New Roman" w:hAnsi="Times New Roman"/>
          <w:sz w:val="17"/>
          <w:szCs w:val="17"/>
          <w:color w:val="auto"/>
        </w:rPr>
        <w:t>” for more details. The table below sets forth our gross profit in absolute amount and gross profit margins of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services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60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2024</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360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RMB</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RMB</w:t>
            </w:r>
          </w:p>
        </w:tc>
        <w:tc>
          <w:tcPr>
            <w:tcW w:w="112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RMB</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US$</w:t>
            </w: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r>
      <w:tr>
        <w:trPr>
          <w:trHeight w:val="194"/>
        </w:trPr>
        <w:tc>
          <w:tcPr>
            <w:tcW w:w="36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profit and gross profit margin</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522,016</w:t>
            </w: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31.9</w:t>
            </w: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548,706</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25.9</w:t>
            </w: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615,000</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87,944</w:t>
            </w: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operating expenses can be classified into three categories: general and administrative, research and development, and selling and marketing. The following table sets forth the components of our operating expenses, both in absolute amount and as a proportion of our net revenues,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2024</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RMB</w:t>
            </w: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RMB</w:t>
            </w:r>
          </w:p>
        </w:tc>
        <w:tc>
          <w:tcPr>
            <w:tcW w:w="1120" w:type="dxa"/>
            <w:vAlign w:val="bottom"/>
            <w:gridSpan w:val="2"/>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RMB</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US$</w:t>
            </w: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Operating expenses:</w:t>
            </w: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57,346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70,807</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3.3</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86,123</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12,315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148,879</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142,884</w:t>
            </w:r>
          </w:p>
        </w:tc>
        <w:tc>
          <w:tcPr>
            <w:tcW w:w="1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6.7</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165,593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23,679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Selling and marketing</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214,610</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211,173</w:t>
            </w: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10.0</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277,681</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39,708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7"/>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420,835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424,864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529,397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75,702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82"/>
              </w:rPr>
              <w:t>91</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expenses consist primarily of salaries and welfare for general and administrative personnel and share-based compensation for management and administrative personnel. Within the total general and administrative expenses incurred in the years ended December 31, 2023, 2024 and 2025, RMB1.6 million, RMB4.6 million and RMB5.5 million (US$0.8 million) were share-based compensation expenses, respectively.</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Our research and development expenses primarily consist of salaries and benefits as well as share-based compensation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research and development personnel, materials, general expenses and depreciation expenses associated with research and development activities.</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Selling and marketing</w:t>
      </w:r>
      <w:r>
        <w:rPr>
          <w:rFonts w:ascii="Times New Roman" w:cs="Times New Roman" w:eastAsia="Times New Roman" w:hAnsi="Times New Roman"/>
          <w:sz w:val="17"/>
          <w:szCs w:val="17"/>
          <w:color w:val="auto"/>
        </w:rPr>
        <w:t>. Our selling and marketing expenses primarily consist of advertising and market promotion expenses, shipping expenses, and salaries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welfare for sales and marketing personnel. We bear mainly the advertising and marketing expenses for our Viomi-branded products.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Other income primarily consists of government grants received from local government authorities to encourage our technology development and innovation.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amounts are paid in the discretion of the governmental authorities, and there is no assurance that we will receive such grants in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Cayman Islands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are an exempted company incorporated in the Cayman Islands. The Cayman Islands currently levies no taxes on corporations based upon profits, income, gains or appreciation.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subsidiary incorporated in Hong Kong is subject to Hong Kong profit tax at a rate of 8.25% on assessable profits up to 2,000,000 Hong Kong dollars and 16.5% on any part of assessable profits over that amount. No Hong Kong profit tax has been levied as we did not have an assessable profit that was earned in or derived from the Hong Kong subsidiary during the periods presented. Hong Kong does not impose a withholding tax on dividends.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China</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Generally, our PRC subsidiaries, variable interest entities and their subsidiaries, which are considered PRC resident enterprises under PRC tax law, are subject to enterprise income tax on their worldwide taxable income as determined under PRC tax laws and accounting standards at a rate of 25%. However, according to the PRC Enterprise Income Tax Law, the income tax of an enterprise that has been determined to be a high and new technology enterprise can be reduced to a preferential rate of 15%. Guangdong Lizi has obtained High and New Technology Enterprise Certificate and is thus eligible to enjoy a preferential tax rate of 15%, to the extent it has taxable income under the PRC Enterprise Income Tax Law.</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Mainland China and the Hong Kong Special Administrative Region for the Avoidance of Double Taxation and Tax Evasion on Income with respect to Taxes on Income and Capital and receives approval from the tax authority. If our Hong Kong subsidiary satisfies all the requirements under the tax arrangement and receives approval from the tax authority, then the dividends paid to the Hong Kong subsidiary would be subject to withholding tax at the standard rate of 5%. See “</w:t>
      </w:r>
      <w:r>
        <w:rPr>
          <w:rFonts w:ascii="Times New Roman" w:cs="Times New Roman" w:eastAsia="Times New Roman" w:hAnsi="Times New Roman"/>
          <w:sz w:val="17"/>
          <w:szCs w:val="17"/>
          <w:i w:val="1"/>
          <w:iCs w:val="1"/>
          <w:color w:val="auto"/>
        </w:rPr>
        <w:t>Item 3. Key Information—D. Risk Factors—Risks Related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Our Corporate Structure—We may rely on dividends paid by our PRC subsidiaries to fund any cash and financing requirements we may have. Any limitation on the ability of our PRC subsidiaries to pay dividends to us could have a material adverse effect on our ability to conduct our business and to pay dividends to holders of the ADSs and our ordinary shares</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w:t>
      </w:r>
      <w:r>
        <w:rPr>
          <w:rFonts w:ascii="Times New Roman" w:cs="Times New Roman" w:eastAsia="Times New Roman" w:hAnsi="Times New Roman"/>
          <w:sz w:val="17"/>
          <w:szCs w:val="17"/>
          <w:i w:val="1"/>
          <w:iCs w:val="1"/>
          <w:color w:val="auto"/>
        </w:rPr>
        <w:t>Item 3. Key Information—D. Risk Factors—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Risks Related to Doing Business in China—If we are classified as a PRC resident enterprise for PRC income tax purposes, such classification could result in unfavorable tax consequences to us and our non-PRC shareholders or ADS holders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sets forth a summary of our consolidated income and loss for the periods presented, both in absolute amount and as a proportion of our net revenues for the periods presented. This information should be read together with our consolidated financial statements and related notes included elsewhere in this annual report.</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a result of the completion of the 2024 reorganization transaction, from September 2024, we have ceased to consolidate the divested entities, assets and businesses as well as their corresponding financial results. The historical financial results of our diverted IoT@Home business are reflected in our audited consolidated financial statements as discontinued operations. Unless otherwise stated, the financial information and non-GAAP financial measures disclosed in this annual report refer to our continuing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RMB</w:t>
            </w:r>
          </w:p>
        </w:tc>
        <w:tc>
          <w:tcPr>
            <w:tcW w:w="3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RMB</w:t>
            </w:r>
          </w:p>
        </w:tc>
        <w:tc>
          <w:tcPr>
            <w:tcW w:w="3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US$</w:t>
            </w:r>
          </w:p>
        </w:tc>
        <w:tc>
          <w:tcPr>
            <w:tcW w:w="3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b w:val="1"/>
                <w:bCs w:val="1"/>
                <w:color w:val="auto"/>
              </w:rPr>
              <w:t>Net revenues</w:t>
            </w:r>
            <w:r>
              <w:rPr>
                <w:rFonts w:ascii="Times New Roman" w:cs="Times New Roman" w:eastAsia="Times New Roman" w:hAnsi="Times New Roman"/>
                <w:sz w:val="25"/>
                <w:szCs w:val="25"/>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1,638,736</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100.0</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2,118,982</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100.0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2,428,226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347,232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(1,116,720)</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(68.1)</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(1,570,276)</w:t>
            </w:r>
          </w:p>
        </w:tc>
        <w:tc>
          <w:tcPr>
            <w:tcW w:w="1080" w:type="dxa"/>
            <w:vAlign w:val="bottom"/>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(74.1)</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(1,813,226)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(259,288)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2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522,016</w:t>
            </w: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31.9</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548,706</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25.9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615,000</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87,944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40"/>
        </w:trPr>
        <w:tc>
          <w:tcPr>
            <w:tcW w:w="3600" w:type="dxa"/>
            <w:vAlign w:val="bottom"/>
          </w:tcPr>
          <w:p>
            <w:pPr>
              <w:spacing w:after="0" w:line="240" w:lineRule="exact"/>
              <w:rPr>
                <w:sz w:val="20"/>
                <w:szCs w:val="20"/>
                <w:color w:val="auto"/>
              </w:rPr>
            </w:pPr>
            <w:r>
              <w:rPr>
                <w:rFonts w:ascii="Times New Roman" w:cs="Times New Roman" w:eastAsia="Times New Roman" w:hAnsi="Times New Roman"/>
                <w:sz w:val="16"/>
                <w:szCs w:val="16"/>
                <w:b w:val="1"/>
                <w:bCs w:val="1"/>
                <w:color w:val="auto"/>
              </w:rPr>
              <w:t>Operating expenses</w:t>
            </w:r>
            <w:r>
              <w:rPr>
                <w:rFonts w:ascii="Times New Roman" w:cs="Times New Roman" w:eastAsia="Times New Roman" w:hAnsi="Times New Roman"/>
                <w:sz w:val="27"/>
                <w:szCs w:val="27"/>
                <w:b w:val="1"/>
                <w:bCs w:val="1"/>
                <w:color w:val="auto"/>
                <w:vertAlign w:val="superscript"/>
              </w:rPr>
              <w:t>(2)</w:t>
            </w:r>
            <w:r>
              <w:rPr>
                <w:rFonts w:ascii="Times New Roman" w:cs="Times New Roman" w:eastAsia="Times New Roman" w:hAnsi="Times New Roman"/>
                <w:sz w:val="16"/>
                <w:szCs w:val="16"/>
                <w:b w:val="1"/>
                <w:bCs w:val="1"/>
                <w:color w:val="auto"/>
              </w:rPr>
              <w:t>:</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7"/>
                <w:szCs w:val="27"/>
                <w:color w:val="auto"/>
                <w:vertAlign w:val="superscript"/>
              </w:rPr>
              <w:t>(2)</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(148,879)</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(9.1)</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(142,884)</w:t>
            </w:r>
          </w:p>
        </w:tc>
        <w:tc>
          <w:tcPr>
            <w:tcW w:w="10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(6.7)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(165,593)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(23,679)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Selling and marketing expenses(2)</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(214,610)</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(13.1)</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(211,173)</w:t>
            </w:r>
          </w:p>
        </w:tc>
        <w:tc>
          <w:tcPr>
            <w:tcW w:w="1080" w:type="dxa"/>
            <w:vAlign w:val="bottom"/>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(10.0)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(277,681)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(39,708)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52"/>
        </w:trPr>
        <w:tc>
          <w:tcPr>
            <w:tcW w:w="36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8"/>
                <w:szCs w:val="28"/>
                <w:color w:val="auto"/>
                <w:vertAlign w:val="superscript"/>
              </w:rPr>
              <w:t>(2)</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(57,346)</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(3.5)</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(70,807)</w:t>
            </w:r>
          </w:p>
        </w:tc>
        <w:tc>
          <w:tcPr>
            <w:tcW w:w="10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(3.3)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(86,123)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(12,315)</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94"/>
        </w:trPr>
        <w:tc>
          <w:tcPr>
            <w:tcW w:w="360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(420,835)</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(25.7)</w:t>
            </w:r>
          </w:p>
        </w:tc>
        <w:tc>
          <w:tcPr>
            <w:tcW w:w="32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(424,864)</w:t>
            </w:r>
          </w:p>
        </w:tc>
        <w:tc>
          <w:tcPr>
            <w:tcW w:w="32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(20.1)</w:t>
            </w:r>
          </w:p>
        </w:tc>
        <w:tc>
          <w:tcPr>
            <w:tcW w:w="3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(529,397)</w:t>
            </w:r>
          </w:p>
        </w:tc>
        <w:tc>
          <w:tcPr>
            <w:tcW w:w="32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(75,702)</w:t>
            </w:r>
          </w:p>
        </w:tc>
        <w:tc>
          <w:tcPr>
            <w:tcW w:w="32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2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8,887</w:t>
            </w: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0.5</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32,492</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1.5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42,951</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6,142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194"/>
        </w:trPr>
        <w:tc>
          <w:tcPr>
            <w:tcW w:w="36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Income from operations</w:t>
            </w: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110,068</w:t>
            </w:r>
          </w:p>
        </w:tc>
        <w:tc>
          <w:tcPr>
            <w:tcW w:w="340" w:type="dxa"/>
            <w:vAlign w:val="bottom"/>
          </w:tcPr>
          <w:p>
            <w:pPr>
              <w:spacing w:after="0"/>
              <w:rPr>
                <w:sz w:val="16"/>
                <w:szCs w:val="16"/>
                <w:color w:val="auto"/>
              </w:rPr>
            </w:pPr>
          </w:p>
        </w:tc>
        <w:tc>
          <w:tcPr>
            <w:tcW w:w="8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6.7</w:t>
            </w:r>
          </w:p>
        </w:tc>
        <w:tc>
          <w:tcPr>
            <w:tcW w:w="32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156,334</w:t>
            </w:r>
          </w:p>
        </w:tc>
        <w:tc>
          <w:tcPr>
            <w:tcW w:w="32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7.4</w:t>
            </w:r>
          </w:p>
        </w:tc>
        <w:tc>
          <w:tcPr>
            <w:tcW w:w="3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128,554</w:t>
            </w:r>
          </w:p>
        </w:tc>
        <w:tc>
          <w:tcPr>
            <w:tcW w:w="32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18,384</w:t>
            </w:r>
          </w:p>
        </w:tc>
        <w:tc>
          <w:tcPr>
            <w:tcW w:w="32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investment income, net</w:t>
            </w:r>
          </w:p>
        </w:tc>
        <w:tc>
          <w:tcPr>
            <w:tcW w:w="12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16,831</w:t>
            </w: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1.0</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5,264</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0.2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26,533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3,794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Other non-operating income (loss)</w:t>
            </w: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3,164</w:t>
            </w:r>
          </w:p>
        </w:tc>
        <w:tc>
          <w:tcPr>
            <w:tcW w:w="112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0.2</w:t>
            </w: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(500)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 expenses</w:t>
            </w:r>
          </w:p>
        </w:tc>
        <w:tc>
          <w:tcPr>
            <w:tcW w:w="12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130,063</w:t>
            </w:r>
          </w:p>
        </w:tc>
        <w:tc>
          <w:tcPr>
            <w:tcW w:w="1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7.9</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161,598</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7.6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154,587</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22,107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6.4</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(13,588)</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(0.8)</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(16,913)</w:t>
            </w:r>
          </w:p>
        </w:tc>
        <w:tc>
          <w:tcPr>
            <w:tcW w:w="1080" w:type="dxa"/>
            <w:vAlign w:val="bottom"/>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(0.8)</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(12,658)</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(1,810)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194"/>
        </w:trPr>
        <w:tc>
          <w:tcPr>
            <w:tcW w:w="36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income from continuing operations</w:t>
            </w:r>
          </w:p>
        </w:tc>
        <w:tc>
          <w:tcPr>
            <w:tcW w:w="8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116,475</w:t>
            </w: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7.1</w:t>
            </w: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144,685</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6.8</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141,929</w:t>
            </w: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20,297</w:t>
            </w: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loss from discontinued operations</w:t>
            </w:r>
          </w:p>
        </w:tc>
        <w:tc>
          <w:tcPr>
            <w:tcW w:w="8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(205,808</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(82,341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(3.9</w:t>
            </w:r>
          </w:p>
        </w:tc>
        <w:tc>
          <w:tcPr>
            <w:tcW w:w="300" w:type="dxa"/>
            <w:vAlign w:val="bottom"/>
            <w:tcBorders>
              <w:bottom w:val="single" w:sz="8" w:color="CCEEFF"/>
            </w:tcBorders>
          </w:tcPr>
          <w:p>
            <w:pPr>
              <w:jc w:val="right"/>
              <w:ind w:right="2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(89,333</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62,344</w:t>
            </w: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141,929</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20,297</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line="178" w:lineRule="exact"/>
              <w:rPr>
                <w:sz w:val="20"/>
                <w:szCs w:val="20"/>
                <w:color w:val="auto"/>
              </w:rPr>
            </w:pPr>
            <w:r>
              <w:rPr>
                <w:rFonts w:ascii="Times New Roman" w:cs="Times New Roman" w:eastAsia="Times New Roman" w:hAnsi="Times New Roman"/>
                <w:sz w:val="17"/>
                <w:szCs w:val="17"/>
                <w:color w:val="auto"/>
              </w:rPr>
              <w:t>Less: Net (loss) income attributable to the non-</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60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controlling interest shareholders</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(4,659)</w:t>
            </w: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(0.3)</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(1,070)</w:t>
            </w:r>
          </w:p>
        </w:tc>
        <w:tc>
          <w:tcPr>
            <w:tcW w:w="1080" w:type="dxa"/>
            <w:vAlign w:val="bottom"/>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(0.1)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285</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Net (loss) income attributable to ordinary</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of the Company</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(84,674)</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b w:val="1"/>
                <w:bCs w:val="1"/>
                <w:color w:val="auto"/>
              </w:rPr>
              <w:t>(5.2)</w:t>
            </w: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63,414</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3.0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141,644</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20,256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5.8</w:t>
            </w:r>
          </w:p>
        </w:tc>
        <w:tc>
          <w:tcPr>
            <w:tcW w:w="0" w:type="dxa"/>
            <w:vAlign w:val="bottom"/>
          </w:tcPr>
          <w:p>
            <w:pPr>
              <w:spacing w:after="0"/>
              <w:rPr>
                <w:sz w:val="1"/>
                <w:szCs w:val="1"/>
                <w:color w:val="auto"/>
              </w:rPr>
            </w:pPr>
          </w:p>
        </w:tc>
      </w:tr>
      <w:tr>
        <w:trPr>
          <w:trHeight w:val="185"/>
        </w:trPr>
        <w:tc>
          <w:tcPr>
            <w:tcW w:w="3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Net income from continuing operations</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attributable to ordinary shareholders of the</w:t>
            </w: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Company</w:t>
            </w: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116,768</w:t>
            </w:r>
          </w:p>
        </w:tc>
        <w:tc>
          <w:tcPr>
            <w:tcW w:w="112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7.1</w:t>
            </w: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144,364</w:t>
            </w:r>
          </w:p>
        </w:tc>
        <w:tc>
          <w:tcPr>
            <w:tcW w:w="10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6.8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141,644</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20,256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Net loss from discontinued operations attributable</w:t>
            </w: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 ordinary shareholders of the Company</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(201,442)</w:t>
            </w:r>
          </w:p>
        </w:tc>
        <w:tc>
          <w:tcPr>
            <w:tcW w:w="1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(12.3)</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(80,950)</w:t>
            </w:r>
          </w:p>
        </w:tc>
        <w:tc>
          <w:tcPr>
            <w:tcW w:w="10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(3.8)</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ind w:left="300" w:hanging="299"/>
        <w:spacing w:after="0" w:line="274" w:lineRule="auto"/>
        <w:tabs>
          <w:tab w:leader="none" w:pos="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RMB1,292.9 million, RMB1,819.1 million and RMB2,214.8 million (US$316.7 million) from sales to related parties for the years ended December 31, 2023, 2024 and 2025,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Share-based compensation expenses were allocated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4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7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center"/>
              <w:ind w:left="376"/>
              <w:spacing w:after="0"/>
              <w:rPr>
                <w:sz w:val="20"/>
                <w:szCs w:val="20"/>
                <w:color w:val="auto"/>
              </w:rPr>
            </w:pPr>
            <w:r>
              <w:rPr>
                <w:rFonts w:ascii="Times New Roman" w:cs="Times New Roman" w:eastAsia="Times New Roman" w:hAnsi="Times New Roman"/>
                <w:sz w:val="17"/>
                <w:szCs w:val="17"/>
                <w:b w:val="1"/>
                <w:bCs w:val="1"/>
                <w:color w:val="auto"/>
                <w:w w:val="95"/>
              </w:rPr>
              <w:t>RMB</w:t>
            </w:r>
          </w:p>
        </w:tc>
        <w:tc>
          <w:tcPr>
            <w:tcW w:w="460" w:type="dxa"/>
            <w:vAlign w:val="bottom"/>
            <w:tcBorders>
              <w:top w:val="single" w:sz="8" w:color="auto"/>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center"/>
              <w:ind w:left="376"/>
              <w:spacing w:after="0"/>
              <w:rPr>
                <w:sz w:val="20"/>
                <w:szCs w:val="20"/>
                <w:color w:val="auto"/>
              </w:rPr>
            </w:pPr>
            <w:r>
              <w:rPr>
                <w:rFonts w:ascii="Times New Roman" w:cs="Times New Roman" w:eastAsia="Times New Roman" w:hAnsi="Times New Roman"/>
                <w:sz w:val="17"/>
                <w:szCs w:val="17"/>
                <w:b w:val="1"/>
                <w:bCs w:val="1"/>
                <w:color w:val="auto"/>
                <w:w w:val="95"/>
              </w:rPr>
              <w:t>RMB</w:t>
            </w:r>
          </w:p>
        </w:tc>
        <w:tc>
          <w:tcPr>
            <w:tcW w:w="480" w:type="dxa"/>
            <w:vAlign w:val="bottom"/>
            <w:tcBorders>
              <w:top w:val="single" w:sz="8" w:color="auto"/>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w w:val="95"/>
              </w:rPr>
              <w:t>RMB</w:t>
            </w:r>
          </w:p>
        </w:tc>
        <w:tc>
          <w:tcPr>
            <w:tcW w:w="4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Borders>
              <w:bottom w:val="single" w:sz="8" w:color="CCEEFF"/>
            </w:tcBorders>
          </w:tcPr>
          <w:p>
            <w:pPr>
              <w:spacing w:after="0"/>
              <w:rPr>
                <w:sz w:val="17"/>
                <w:szCs w:val="17"/>
                <w:color w:val="auto"/>
              </w:rPr>
            </w:pPr>
          </w:p>
        </w:tc>
      </w:tr>
      <w:tr>
        <w:trPr>
          <w:trHeight w:val="194"/>
        </w:trPr>
        <w:tc>
          <w:tcPr>
            <w:tcW w:w="4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General and administrative expenses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1,551</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4,579</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5,537</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792</w:t>
            </w:r>
          </w:p>
        </w:tc>
        <w:tc>
          <w:tcPr>
            <w:tcW w:w="100" w:type="dxa"/>
            <w:vAlign w:val="bottom"/>
            <w:shd w:val="clear" w:color="auto" w:fill="CCEEFF"/>
          </w:tcPr>
          <w:p>
            <w:pPr>
              <w:spacing w:after="0"/>
              <w:rPr>
                <w:sz w:val="16"/>
                <w:szCs w:val="16"/>
                <w:color w:val="auto"/>
              </w:rPr>
            </w:pPr>
          </w:p>
        </w:tc>
      </w:tr>
      <w:tr>
        <w:trPr>
          <w:trHeight w:val="202"/>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121</w:t>
            </w:r>
          </w:p>
        </w:tc>
        <w:tc>
          <w:tcPr>
            <w:tcW w:w="88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8,151</w:t>
            </w: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3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730</w:t>
            </w:r>
          </w:p>
        </w:tc>
      </w:tr>
      <w:tr>
        <w:trPr>
          <w:trHeight w:val="202"/>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6"/>
              </w:rPr>
              <w:t>(1,566)</w:t>
            </w:r>
          </w:p>
        </w:tc>
        <w:tc>
          <w:tcPr>
            <w:tcW w:w="8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3,720</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w:t>
            </w:r>
          </w:p>
        </w:tc>
        <w:tc>
          <w:tcPr>
            <w:tcW w:w="3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w:t>
            </w:r>
          </w:p>
        </w:tc>
      </w:tr>
      <w:tr>
        <w:trPr>
          <w:trHeight w:val="222"/>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106</w:t>
            </w:r>
          </w:p>
        </w:tc>
        <w:tc>
          <w:tcPr>
            <w:tcW w:w="8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8"/>
              </w:rPr>
              <w:t>16,450</w:t>
            </w:r>
          </w:p>
        </w:tc>
        <w:tc>
          <w:tcPr>
            <w:tcW w:w="8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8"/>
              </w:rPr>
              <w:t>14,080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2,013</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2025 Compared to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net revenues increased by 14.6% from RMB2,119.0 million in 2024 to RMB2,428.2 million (US$347.2 million) in 2025, primarily attributable to the increase in home water systems and kitchen appliances.</w:t>
      </w:r>
    </w:p>
    <w:p>
      <w:pPr>
        <w:spacing w:after="0" w:line="155"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Home water systems</w:t>
      </w:r>
      <w:r>
        <w:rPr>
          <w:rFonts w:ascii="Times New Roman" w:cs="Times New Roman" w:eastAsia="Times New Roman" w:hAnsi="Times New Roman"/>
          <w:sz w:val="17"/>
          <w:szCs w:val="17"/>
          <w:color w:val="auto"/>
        </w:rPr>
        <w:t>. Revenues from home water systems increased by 12.6% from RMB1,498.4 million in 2024 to RMB1,686.6 million (US$241.2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2025, primarily due to the increased demand for home water system products.</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Consumables</w:t>
      </w:r>
      <w:r>
        <w:rPr>
          <w:rFonts w:ascii="Times New Roman" w:cs="Times New Roman" w:eastAsia="Times New Roman" w:hAnsi="Times New Roman"/>
          <w:sz w:val="17"/>
          <w:szCs w:val="17"/>
          <w:color w:val="auto"/>
        </w:rPr>
        <w:t>. Revenues from consumables decreased by 15.2% from RMB277.7 million in 2024 to RMB235.4 million (US$33.7 million) in 2025,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due to technological iterations that have extended filter lifespans and reduced replacement frequency.</w:t>
      </w:r>
    </w:p>
    <w:p>
      <w:pPr>
        <w:spacing w:after="0" w:line="15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Kitchen appliances and others</w:t>
      </w:r>
      <w:r>
        <w:rPr>
          <w:rFonts w:ascii="Times New Roman" w:cs="Times New Roman" w:eastAsia="Times New Roman" w:hAnsi="Times New Roman"/>
          <w:sz w:val="17"/>
          <w:szCs w:val="17"/>
          <w:color w:val="auto"/>
        </w:rPr>
        <w:t>. Revenues from kitchen appliances and others increased by 47.6% from RMB342.9 million in 2024 to RMB506.2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(US$72.4 million) in 2025, primarily due to the increased sales of kitchen appliances to Xiaomi, partially offset by a contraction of Viomi-branded products in this category.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cost of revenues increased by 15.5% from RMB1,570.3 million in 2024 to RMB1,813.2 million (US$259.3 million) in 2025, which was primarily in line with the increase in revenue.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a result of the foregoing, our gross profit increased by 12.1% from RMB548.7 million in 2024 to RMB615.0 million (US$87.9 million) in 2025.</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gross margin was 25.3% in 2025, as compared to 25.9% in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operating expenses increased by 24.6% from RMB424.9 million in 2024 to RMB529.4 million (US$75.7 million) in 2025.</w:t>
      </w:r>
    </w:p>
    <w:p>
      <w:pPr>
        <w:spacing w:after="0" w:line="20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Research and development expenses increased by 15.9% from RMB142.9 million in 2024 to RMB165.6 million (US$23.7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2025, primarily due to an increase in employee compensation costs.</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Selling and marketing</w:t>
      </w:r>
      <w:r>
        <w:rPr>
          <w:rFonts w:ascii="Times New Roman" w:cs="Times New Roman" w:eastAsia="Times New Roman" w:hAnsi="Times New Roman"/>
          <w:sz w:val="17"/>
          <w:szCs w:val="17"/>
          <w:color w:val="auto"/>
        </w:rPr>
        <w:t>. Selling and marketing expenses increased by 31.5% from RMB211.2 million in 2024 to RMB277.7 million (US$39.7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This increase was primarily due to an increase in brand promotion investment, as well as higher personnel costs resulting from channel expansion.</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expenses increased by 21.6% from RMB70.8 million in 2024 to RMB86.1 million (US$12.3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2025, primarily due to an increase in professional service fees and a higher allowance for credit losses.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had income tax expenses of RMB12.7 million (US$1.8 million) in 2025, compared to RMB16.9 million in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recorded a net income attributable to ordinary shareholders of the Company of RMB141.6 million (US$20.3 million) in 2025, compared to the net income from continuing operations attributable to ordinary shareholders of the Company of RMB144.4 million for 2024. Excluding the impact of share-based compensation expenses, our net income attributable to ordinary shareholders of the Company was RMB155.7 million (US$22.3 million) in 2025, compared to the net income of RMB79.9 million for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Year Ended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net revenues increased by 29.3% from RMB1,638.7 million in 2023 to RMB2,119.0 million in 2024, primarily attributable to the growth in the home water systems.</w:t>
      </w:r>
    </w:p>
    <w:p>
      <w:pPr>
        <w:spacing w:after="0" w:line="155"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Home water systems</w:t>
      </w:r>
      <w:r>
        <w:rPr>
          <w:rFonts w:ascii="Times New Roman" w:cs="Times New Roman" w:eastAsia="Times New Roman" w:hAnsi="Times New Roman"/>
          <w:sz w:val="17"/>
          <w:szCs w:val="17"/>
          <w:color w:val="auto"/>
        </w:rPr>
        <w:t>. Revenues from home water systems increased by 39.0% from RMB1,077.9 million in 2023 to RMB1,498.4 million in 2024,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due to the increased demand of the home water system products.</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Consumables</w:t>
      </w:r>
      <w:r>
        <w:rPr>
          <w:rFonts w:ascii="Times New Roman" w:cs="Times New Roman" w:eastAsia="Times New Roman" w:hAnsi="Times New Roman"/>
          <w:sz w:val="17"/>
          <w:szCs w:val="17"/>
          <w:color w:val="auto"/>
        </w:rPr>
        <w:t>. Revenues from consumables decreased by 14.5% from RMB324.7 million in 2023 to RMB277.7 million in 2024, primarily due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decreased sales of water purifier filters sold to Xiaomi, partially offset by an increase in demand for the Viomi-branded filters.</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Kitchen appliances and others</w:t>
      </w:r>
      <w:r>
        <w:rPr>
          <w:rFonts w:ascii="Times New Roman" w:cs="Times New Roman" w:eastAsia="Times New Roman" w:hAnsi="Times New Roman"/>
          <w:sz w:val="17"/>
          <w:szCs w:val="17"/>
          <w:color w:val="auto"/>
        </w:rPr>
        <w:t>. Revenues from kitchen appliances and others increased by 45.2% from RMB236.1 million in 2023 to RMB342.9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primarily due to increased sales of kitchen appliances to Xiaomi.</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cost of revenues increased by 40.6% from RMB1,116.7 million in 2023 to RMB1,570.3 million in 2024, primarily due to a change in product mix during the transition period, resulting from the increased revenue contribution of low gross margin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a result of the foregoing, our gross profit increased by 5.1% from RMB522.0 million in 2023 to RMB548.7 million in 2024.</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gross margin was 25.9% in 2024, as compared to 31.9% in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operating expenses increased by 1.0% from RMB420.8 million in 2023 to RMB424.9 million in 2024.</w:t>
      </w:r>
    </w:p>
    <w:p>
      <w:pPr>
        <w:spacing w:after="0" w:line="20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General and administrative expenses increased by 23.5% from RMB57.3 million in 2023 to RMB70.8 million in 2024,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due to higher management personnel expenses, partially offset by a decrease in estimated allowance for accounts and notes receivables.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Research and development expenses decreased by 4.0% from RMB148.9 million in 2023 to RMB142.9 million in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due to decreased depreciation and amortization expenses and personnel expenses.</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Selling and marketing</w:t>
      </w:r>
      <w:r>
        <w:rPr>
          <w:rFonts w:ascii="Times New Roman" w:cs="Times New Roman" w:eastAsia="Times New Roman" w:hAnsi="Times New Roman"/>
          <w:sz w:val="17"/>
          <w:szCs w:val="17"/>
          <w:color w:val="auto"/>
        </w:rPr>
        <w:t>. Selling and marketing expenses decreased slightly by 1.6% from RMB214.6 million in 2023 to RMB211.2 million in 2024.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was primarily due to decrease in logistic expenses, partially offset by the increase in advertising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had income tax expenses of RMB16.9 million in 2024, compared to RMB13.6 million in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from continuing operations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a result of the foregoing, we recorded a net income from continuing operations attributable to ordinary shareholders of the Company of RMB144.4 million in 2024, compared to RMB116.8 million for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related to discontinued operations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recorded net loss related to discontinued operations attributable to ordinary shareholders of the Company of RMB201.4 million in 2023. In 2024, we recorded net loss related to discontinued operations attributable to ordinary shareholders of the Company of RMB81.0 million, representing the net loss from discontinued operations for the period from January 1 through August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recorded a net income attributable to ordinary shareholders of the Company of RMB63.4 million in 2024, compared to the net loss attributable to ordinary shareholders of the Company of RMB84.7 million for 2023. Excluding the impact of share-based compensation expenses, our net income attributable to ordinary shareholders of the Company was RMB79.9 million in 2024, compared to the net loss of RMB84.6 million for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b w:val="1"/>
          <w:bCs w:val="1"/>
          <w:u w:val="single" w:color="auto"/>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and working capital</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To date, we have financed our operations primarily through cash generated by operating activities and historical equity financing activities. As of December 31, 2023, 2024 and 2025, we had cash and cash equivalents and restricted cash of RMB225.3 million, RMB1,167.5 million and RMB971.0 million (US$138.9 million), respectively. Our cash and cash equivalents primarily consist of cash on hand, demand deposits and highly liquid investments placed with banks. We believe that our cash and cash equivalents and restricted cash and our anticipated cash flows from operations will be sufficient to meet our current and anticipated needs for general corporate purposes for at least the next 12 months.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Although we consolidate the results of our VIEs, we only have access to cash balances or future earnings of our VIEs through our contractual arrangements with them. See “</w:t>
      </w:r>
      <w:r>
        <w:rPr>
          <w:rFonts w:ascii="Times New Roman" w:cs="Times New Roman" w:eastAsia="Times New Roman" w:hAnsi="Times New Roman"/>
          <w:sz w:val="17"/>
          <w:szCs w:val="17"/>
          <w:i w:val="1"/>
          <w:iCs w:val="1"/>
          <w:color w:val="auto"/>
        </w:rPr>
        <w:t>Item 4. Information on the Company—C. Organizational Structure</w:t>
      </w:r>
      <w:r>
        <w:rPr>
          <w:rFonts w:ascii="Times New Roman" w:cs="Times New Roman" w:eastAsia="Times New Roman" w:hAnsi="Times New Roman"/>
          <w:sz w:val="17"/>
          <w:szCs w:val="17"/>
          <w:color w:val="auto"/>
        </w:rPr>
        <w:t>.” For restrictions and limitations on liquidity and capital resources as a result of our corporate structure, see “</w:t>
      </w:r>
      <w:r>
        <w:rPr>
          <w:rFonts w:ascii="Times New Roman" w:cs="Times New Roman" w:eastAsia="Times New Roman" w:hAnsi="Times New Roman"/>
          <w:sz w:val="17"/>
          <w:szCs w:val="17"/>
          <w:i w:val="1"/>
          <w:iCs w:val="1"/>
          <w:color w:val="auto"/>
        </w:rPr>
        <w:t>—Holding Company Structure</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Substantially all of our net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approval of SAFE as long as certain routine procedural requirements are fulfilled. Therefore, our PRC subsidiaries are allowed to pay dividends in foreign currencies to us without prior approval of the SAFE by following certain routine procedural requirements. However, current PRC regulations permit our PRC subsidiaries to pay dividends to us only out of their accumulated profits, if any, determined in accordance with Chinese accounting standards and regulations. Each of our PRC subsidiary is required to set aside at least 10% of its after-tax profits after making up previous years’ accumulated losses each year, if any, to fund certain statutory reserve funds until the total amount set aside reaches 50% of its registered capital. In addition, it may allocate a portion of its after-tax profits based on PRC accounting standards to discretionary reserve funds at its discretion. These reserves are not distributable as cash dividends. Historically, our PRC subsidiaries have not paid dividends to us, and they have no present plan to pay any dividends to us in the foreseeable future, since they intend to retain all of their available funds and any future earnings to operate and expand our business. Furthermore, capital account transactions, which include foreign direct investment and loans, must be approved by and/or registered with the SAFE, its local branches and certain local banks.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restricted net assets of our PRC subsidiaries and VIEs amounted to RMB95.7 million, RMB97.9 million and RMB653 million (US$93.4 million) as of December 31, 2023, 2024 and 2025, respectively. The unrestricted portion, or amounts otherwise available for transfer in the form of dividends, loans or advances amounted to RMB177.3 million, RMB813.7 million and RMB748.4 million (US$107.0 million) as of December 31, 2023, 2024 and 2025, respectively.</w:t>
      </w:r>
    </w:p>
    <w:p>
      <w:pPr>
        <w:spacing w:after="0" w:line="169"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As a Cayman Islands exempted company and offshore holding company, we are permitted under PRC laws and regulations to provide funding to our wholly foreign-owned subsidiaries in China through loans, subject to the approval of government authorities and limits on the amount, or we may make additional capital contributions to our wholly foreign-owned subsidiary in China. In addition, our wholly foreign-owned subsidiaries in China may provide Renminbi funding to their respective subsidiaries through capital contributions and entrusted loans, and to our consolidated variable interest entities only through entrusted loans. See “</w:t>
      </w:r>
      <w:r>
        <w:rPr>
          <w:rFonts w:ascii="Times New Roman" w:cs="Times New Roman" w:eastAsia="Times New Roman" w:hAnsi="Times New Roman"/>
          <w:sz w:val="16"/>
          <w:szCs w:val="16"/>
          <w:i w:val="1"/>
          <w:iCs w:val="1"/>
          <w:color w:val="auto"/>
        </w:rPr>
        <w:t>Item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Key Information—D. Risk Factors—Risks Related to Doing Business in China—PRC regulation of loans to and direct investment in PRC entities by offshore holding companies and governmental control of currency conversion may delay or prevent us from using the proceeds of our securities offering to make loans or additional capital contributions to our PRC subsidiaries, which could materially and adversely affect our liquidity and our ability to fund and expand our business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4720" w:type="dxa"/>
            <w:vAlign w:val="bottom"/>
          </w:tcPr>
          <w:p>
            <w:pPr>
              <w:spacing w:after="0"/>
              <w:rPr>
                <w:sz w:val="18"/>
                <w:szCs w:val="18"/>
                <w:color w:val="auto"/>
              </w:rPr>
            </w:pPr>
          </w:p>
        </w:tc>
        <w:tc>
          <w:tcPr>
            <w:tcW w:w="13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Pr>
          <w:p>
            <w:pPr>
              <w:spacing w:after="0"/>
              <w:rPr>
                <w:sz w:val="18"/>
                <w:szCs w:val="18"/>
                <w:color w:val="auto"/>
              </w:rPr>
            </w:pPr>
          </w:p>
        </w:tc>
        <w:tc>
          <w:tcPr>
            <w:tcW w:w="13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8"/>
                <w:szCs w:val="18"/>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720" w:type="dxa"/>
            <w:vAlign w:val="bottom"/>
          </w:tcPr>
          <w:p>
            <w:pPr>
              <w:spacing w:after="0"/>
              <w:rPr>
                <w:sz w:val="17"/>
                <w:szCs w:val="17"/>
                <w:color w:val="auto"/>
              </w:rPr>
            </w:pPr>
          </w:p>
        </w:tc>
        <w:tc>
          <w:tcPr>
            <w:tcW w:w="138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7"/>
                <w:szCs w:val="17"/>
                <w:color w:val="auto"/>
              </w:rPr>
            </w:pPr>
          </w:p>
        </w:tc>
        <w:tc>
          <w:tcPr>
            <w:tcW w:w="136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7"/>
                <w:szCs w:val="17"/>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RMB</w:t>
            </w:r>
          </w:p>
        </w:tc>
        <w:tc>
          <w:tcPr>
            <w:tcW w:w="1340" w:type="dxa"/>
            <w:vAlign w:val="bottom"/>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7"/>
                <w:szCs w:val="17"/>
                <w:color w:val="auto"/>
              </w:rPr>
            </w:pPr>
          </w:p>
        </w:tc>
      </w:tr>
      <w:tr>
        <w:trPr>
          <w:trHeight w:val="194"/>
        </w:trPr>
        <w:tc>
          <w:tcPr>
            <w:tcW w:w="47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Selected Consolidated Cash Flow Data:</w:t>
            </w: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continuing operating activities</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41,319</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580,995</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154,638</w:t>
            </w:r>
          </w:p>
        </w:tc>
        <w:tc>
          <w:tcPr>
            <w:tcW w:w="3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22,115</w:t>
            </w: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continuing investing activities</w:t>
            </w: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(290,949)</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(301,812)</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(232,864)</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(33,299)</w:t>
            </w: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by/(used in) by continuing financing activities</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15,657</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(4,658)</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(105,520)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(15,089)</w:t>
            </w:r>
          </w:p>
        </w:tc>
      </w:tr>
      <w:tr>
        <w:trPr>
          <w:trHeight w:val="185"/>
        </w:trPr>
        <w:tc>
          <w:tcPr>
            <w:tcW w:w="47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Net (decrease)/increase in cash and cash equivalents and restricted</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in continuing operations</w:t>
            </w: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(233,973)</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274,525</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(183,746)</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(26,273)</w:t>
            </w:r>
          </w:p>
        </w:tc>
      </w:tr>
      <w:tr>
        <w:trPr>
          <w:trHeight w:val="185"/>
        </w:trPr>
        <w:tc>
          <w:tcPr>
            <w:tcW w:w="4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Net increase in cash and cash equivalents and restricted cash in</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47,476</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241,951</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86"/>
        </w:trPr>
        <w:tc>
          <w:tcPr>
            <w:tcW w:w="47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Cash and cash equivalents and restricted cash at the beginning of</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year</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813,209</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636,355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1,167,480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166,947</w:t>
            </w: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9,643</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14,649</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(12,704)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(1,819)</w:t>
            </w:r>
          </w:p>
        </w:tc>
      </w:tr>
      <w:tr>
        <w:trPr>
          <w:trHeight w:val="185"/>
        </w:trPr>
        <w:tc>
          <w:tcPr>
            <w:tcW w:w="47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Cash and cash equivalents and restricted cash at the end of the</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636,355</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1,167,480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971,030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138,855</w:t>
            </w:r>
          </w:p>
        </w:tc>
      </w:tr>
      <w:tr>
        <w:trPr>
          <w:trHeight w:val="185"/>
        </w:trPr>
        <w:tc>
          <w:tcPr>
            <w:tcW w:w="4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Less: Cash and cash equivalents and restricted cash of held for</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sales at the end of the year</w:t>
            </w: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(411,028)</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86"/>
        </w:trPr>
        <w:tc>
          <w:tcPr>
            <w:tcW w:w="47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Cash and cash equivalents and restricted cash of continuing</w:t>
            </w: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at the end of the year</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225,327</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1,167,480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971,030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138,855</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Net cash provided by continuing operating activities was RMB154.6 million (US$22.1 million) in 2025. The difference between net cash provided by operating activities and our net income of RMB12.7 million (US$1.8 million) was primarily due to RMB57.8 million provided by working capital and the adjustment of RMB42.1 million in depreciation and amortization.</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Net cash provided by continuing operating activities was RMB581.0 million in 2024. The difference between net cash provided by operating activities and our net income of RMB144.7 million was primarily due to RMB410.0 million provided by working capital and the adjustment of RMB29.0 million in depreciation and amortization.</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Net cash provided by operating activities was RMB41.3 million in 2023. The difference between net cash used in operating activities and our net income of RMB116.5 million was primarily due to RMB126.7 million used for working capital, partially offset by the adjustment of RMB36.9 million in depreciation and amortization, RMB1.2 million in allowance for credit losses, and RMB9.4 million in inventory write-down.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used RMB232.9 million (US$33.3 million) in investing activities in 2025, mainly due to RMB847.7 million used for the placement of short-term deposits, partially offset by RMB702.2 million received from the maturity of short-term deposits.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used RMB301.8 million in investing activities in 2024, mainly due to the cashout due to the discontinued operations.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used RMB290.9 million in investing activities in 2023, mainly as a result of RMB176.7 million used for the placement of short-term deposits, RMB103.4 million used for the purchase of equipment, RMB39.7 million used for the purchase of short-term investments, partially offset by RMB29.0 million received from the maturity of short-term investments.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Net cash used in financing activities was 105.5 million (US$15.1 million) in 2025, mainly as a result of RMB79.6 million used for the repayment of borrowing, RMB41.1 million proceed from borrowing and RMB42.0 used for the payment of dividend.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cash used in financing activities was RMB4.7 million in 2024, mainly as a result of the repayment for share repurchases.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Net cash provided by financing activities was RMB15.7 million in 2023, mainly as a result of RMB49.1 million proceed from borrowing, partially offset by RMB6.4 million used in repurchase of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Working capital turnover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Inventories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inventory consists of finished products and raw materials. As of December 31, 2023, 2024 and 2025, our inventory was RMB157.3 million, RMB112.3 million and RMB126.9 million (US$18.1 million), respectively. Our inventory turnover days was 55 days, 31 days and 24 days for the years ended December 31, 2023, 2024 and 2025, respectively. Inventory turnover days for a given period are equal to average of the balances of inventories, net of provisions for inventories write-downs, at the beginning and the end of the period divided by cost of revenues during the period and multiplied by the number of days during the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and notes receivable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accounts and notes receivable represent primarily accounts receivable from related parties as well as accounts and notes receivable from third parties. As of December 31, 2023, 2024 and 2025, our accounts and notes receivable, net of allowance for credit losses, were RMB41.2 million, RMB615.3 million and RMB364.7 million (US$52.2 million), respectively. Our total accounts and notes receivable as of December 31, 2025 included RMB340.2 million (US$48.6 million) from related parties and RMB24.5 million (US$3.5 million) from third parties. Our accounts and notes receivable turnover days were 10 day, 57 days and 74 days for the years ended December 31, 2023, 2024 and 2025, respectively. Accounts and notes receivable turnover days for a given period are equal to average of the balances of accounts and notes receivable, net of allowance for credit losses, at the beginning and the end of the period divided by net revenues during the period and multiplied by the number of days during the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and notes payable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accounts and notes payable represent primarily accounts and notes payable to contract manufacturers. As of December 31, 2023, 2024 and 2025, our accounts and notes payable were RMB317.5 million, RMB772.2 million and RMB517.9 million (US$74.1 million), respectively. Our accounts and notes payable turnover days were 128 days, 127 days and 130 days for the years ended December 31, 2023, 2024 and 2025, respectively. Accounts and notes payable turnover days for a given period are equal to average of the balances of accounts and notes payable, at the beginning and the end of the period divided by cost of revenues during the period and multiplied by the number of days during the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cash requirements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material cash requirements as of December 31, 2025 and any subsequent interim period primarily include our capital expenditures, contractual obligations and capital commitments.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Cash flow in connection with capital expenditures amounted to RMB104.0 million, RMB28.6 million and RMB41.5 million (US$5.9 million) in the years ended December 31, 2023, 2024 and 2025, respectively. These capital expenditures are incurred primarily in connection with the purchase of property, plant and equipment, intangible assets, the construction of Viomi Technology Park and other long-term assets. Our capital expenditures may increase in the future as our product offerings continue to expand and diversify and as we continue to invest in the Viomi Technology Park. We currently plan to fund these expenditures with our current cash and cash equivalents, restricted cash, short-term investments and cash flow generated from our operating activities.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contractual obligations represent operating lease obligations, which consist of the commitments under the lease agreements for our office premises and several factories, short-term bank loans and long-term bank loans. The following table sets forth our contractual obligations as of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99"/>
              </w:rPr>
              <w:t>Payment Due by Period</w:t>
            </w:r>
          </w:p>
        </w:tc>
        <w:tc>
          <w:tcPr>
            <w:tcW w:w="1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3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jc w:val="right"/>
              <w:ind w:right="236"/>
              <w:spacing w:after="0" w:line="175" w:lineRule="exact"/>
              <w:rPr>
                <w:sz w:val="20"/>
                <w:szCs w:val="20"/>
                <w:color w:val="auto"/>
              </w:rPr>
            </w:pPr>
            <w:r>
              <w:rPr>
                <w:rFonts w:ascii="Times New Roman" w:cs="Times New Roman" w:eastAsia="Times New Roman" w:hAnsi="Times New Roman"/>
                <w:sz w:val="17"/>
                <w:szCs w:val="17"/>
                <w:b w:val="1"/>
                <w:bCs w:val="1"/>
                <w:color w:val="auto"/>
              </w:rPr>
              <w:t>Less than</w:t>
            </w:r>
          </w:p>
        </w:tc>
        <w:tc>
          <w:tcPr>
            <w:tcW w:w="1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8"/>
              </w:rPr>
              <w:t>More than</w:t>
            </w:r>
          </w:p>
        </w:tc>
        <w:tc>
          <w:tcPr>
            <w:tcW w:w="100" w:type="dxa"/>
            <w:vAlign w:val="bottom"/>
          </w:tcPr>
          <w:p>
            <w:pPr>
              <w:spacing w:after="0"/>
              <w:rPr>
                <w:sz w:val="15"/>
                <w:szCs w:val="15"/>
                <w:color w:val="auto"/>
              </w:rPr>
            </w:pPr>
          </w:p>
        </w:tc>
      </w:tr>
      <w:tr>
        <w:trPr>
          <w:trHeight w:val="222"/>
        </w:trPr>
        <w:tc>
          <w:tcPr>
            <w:tcW w:w="3600" w:type="dxa"/>
            <w:vAlign w:val="bottom"/>
          </w:tcPr>
          <w:p>
            <w:pPr>
              <w:spacing w:after="0"/>
              <w:rPr>
                <w:sz w:val="19"/>
                <w:szCs w:val="19"/>
                <w:color w:val="auto"/>
              </w:rPr>
            </w:pPr>
          </w:p>
        </w:tc>
        <w:tc>
          <w:tcPr>
            <w:tcW w:w="1560" w:type="dxa"/>
            <w:vAlign w:val="bottom"/>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2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1 Year</w:t>
            </w:r>
          </w:p>
        </w:tc>
        <w:tc>
          <w:tcPr>
            <w:tcW w:w="1960" w:type="dxa"/>
            <w:vAlign w:val="bottom"/>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1-3 Years</w:t>
            </w:r>
          </w:p>
        </w:tc>
        <w:tc>
          <w:tcPr>
            <w:tcW w:w="14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3-5 Years</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4"/>
              </w:rPr>
              <w:t>5 Years</w:t>
            </w:r>
          </w:p>
        </w:tc>
      </w:tr>
      <w:tr>
        <w:trPr>
          <w:trHeight w:val="195"/>
        </w:trPr>
        <w:tc>
          <w:tcPr>
            <w:tcW w:w="36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(RMB in thousands)</w:t>
            </w:r>
          </w:p>
        </w:tc>
        <w:tc>
          <w:tcPr>
            <w:tcW w:w="14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36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Operating lease obligation</w:t>
            </w:r>
            <w:r>
              <w:rPr>
                <w:rFonts w:ascii="Times New Roman" w:cs="Times New Roman" w:eastAsia="Times New Roman" w:hAnsi="Times New Roman"/>
                <w:sz w:val="27"/>
                <w:szCs w:val="27"/>
                <w:color w:val="auto"/>
                <w:vertAlign w:val="superscript"/>
              </w:rPr>
              <w:t>(1)</w:t>
            </w:r>
          </w:p>
        </w:tc>
        <w:tc>
          <w:tcPr>
            <w:tcW w:w="15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1,791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19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435</w:t>
            </w: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Short-term bank loans</w:t>
            </w:r>
          </w:p>
        </w:tc>
        <w:tc>
          <w:tcPr>
            <w:tcW w:w="156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40,000</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96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bank loans</w:t>
            </w:r>
          </w:p>
        </w:tc>
        <w:tc>
          <w:tcPr>
            <w:tcW w:w="15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76,727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25,061</w:t>
            </w:r>
          </w:p>
        </w:tc>
        <w:tc>
          <w:tcPr>
            <w:tcW w:w="19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51,098</w:t>
            </w: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568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24980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Operating lease obligation consist of the commitments under the lease agreements for our office premises and several factories.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had RMB57.1 million outstanding capital commitments, which are mainly related to the construction of Viomi Technology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Park.</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intend to fund our existing and future material cash requirements with our existing cash and cash equivalents, restricted cash, short-term investments and other financing alternatives. We will continue to make cash commitments, including capital expenditures, to support the growth of our business.</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Holding Company Structure</w:t>
      </w:r>
    </w:p>
    <w:p>
      <w:pPr>
        <w:spacing w:after="0" w:line="212"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Viomi Technology Co., Ltd is a holding company with no material operations of its own. We conduct our operations primarily through our subsidiaries, our VIEs and their subsidiaries in China. As a result, Viomi Technology Co., Ltd’s ability to pay dividends depends upon dividends paid by our PRC and Hong Kong subsidiaries, our VIEs and their subsidiaries in China. If our existing subsidiaries or controlled entities or any newly formed ones incur debt on their own behalf in the future, the instruments governing their debt may restrict their ability to pay dividends to us. In addition, our wholly foreign-owned subsidiary in China is permitted to pay dividends to us only out of its retained earnings, if any, as determined in accordance with PRC accounting standards and regulations. Under PRC laws, each of our subsidiary, our VIEs and their subsidiaries in China is required to set aside at least 10% of its after-tax profits each year, if any, to fund certain statutory reserve funds until such reserve funds reach 50% of its registered capital. In addition, each of our wholly foreign-owned subsidiary in China, our variable interest entities and their subsidiaries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to us, and they have no present plan to pay any dividends to us in the foreseeable future, since they intend to retain all of their available funds and any future earnings to operate and expand our business.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Recently issued accounting pronouncements not yet adopted</w:t>
      </w:r>
      <w:r>
        <w:rPr>
          <w:rFonts w:ascii="Times New Roman" w:cs="Times New Roman" w:eastAsia="Times New Roman" w:hAnsi="Times New Roman"/>
          <w:sz w:val="16"/>
          <w:szCs w:val="16"/>
          <w:color w:val="auto"/>
        </w:rPr>
        <w:t>” included in note 2 to our consolidated financial statements at the end of this annual report.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 </w:t>
      </w:r>
      <w:r>
        <w:rPr>
          <w:rFonts w:ascii="Times New Roman" w:cs="Times New Roman" w:eastAsia="Times New Roman" w:hAnsi="Times New Roman"/>
          <w:sz w:val="17"/>
          <w:szCs w:val="17"/>
          <w:b w:val="1"/>
          <w:bCs w:val="1"/>
          <w:u w:val="single" w:color="auto"/>
          <w:color w:val="auto"/>
        </w:rPr>
        <w:t>Research and Development, Patents and Licenses, Etc.</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4. Information on the Company—B. Business Overview—Research and Development” and “—Intellectual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 </w:t>
      </w:r>
      <w:r>
        <w:rPr>
          <w:rFonts w:ascii="Times New Roman" w:cs="Times New Roman" w:eastAsia="Times New Roman" w:hAnsi="Times New Roman"/>
          <w:sz w:val="17"/>
          <w:szCs w:val="17"/>
          <w:b w:val="1"/>
          <w:bCs w:val="1"/>
          <w:u w:val="single" w:color="auto"/>
          <w:color w:val="auto"/>
        </w:rPr>
        <w:t>Trend Information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Other than as disclosed elsewhere in this annual report, we are not aware of any trends, uncertainties, demands, commitments or events for the period since January 1, 2026 that are reasonably likely to have a material adverse effect on our net revenues, income, profitability, liquidity or capital resources, or that would cause the disclosed financial information to be not necessarily indicative of future operating results or financial conditions.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 </w:t>
      </w:r>
      <w:r>
        <w:rPr>
          <w:rFonts w:ascii="Times New Roman" w:cs="Times New Roman" w:eastAsia="Times New Roman" w:hAnsi="Times New Roman"/>
          <w:sz w:val="17"/>
          <w:szCs w:val="17"/>
          <w:b w:val="1"/>
          <w:bCs w:val="1"/>
          <w:u w:val="single" w:color="auto"/>
          <w:color w:val="auto"/>
        </w:rPr>
        <w:t>Critical Accounting Estimates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Judgments and Estimates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69"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We prepare our consolidated financial statements in conformity with U.S. GAAP, which requires us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6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following descriptions of critical accounting policies, judgments and related critical estimates should be read in conjunction with our consolidated financial statements and accompanying notes and other disclosures included in this annual report. When reviewing our consolidated financial statements, you should consider (i) our selection of critical accounting policies, (ii) the judgments and other uncertainties affecting the application of such policies and (iii) the sensitivity of reported results to changes in conditions and assumptions.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May 2014, the FASB issued ASU No. 2014-09, “</w:t>
      </w:r>
      <w:r>
        <w:rPr>
          <w:rFonts w:ascii="Times New Roman" w:cs="Times New Roman" w:eastAsia="Times New Roman" w:hAnsi="Times New Roman"/>
          <w:sz w:val="17"/>
          <w:szCs w:val="17"/>
          <w:b w:val="1"/>
          <w:bCs w:val="1"/>
          <w:color w:val="auto"/>
        </w:rPr>
        <w:t>Revenue from Contracts with Customers (Topic 606)</w:t>
      </w:r>
      <w:r>
        <w:rPr>
          <w:rFonts w:ascii="Times New Roman" w:cs="Times New Roman" w:eastAsia="Times New Roman" w:hAnsi="Times New Roman"/>
          <w:sz w:val="17"/>
          <w:szCs w:val="17"/>
          <w:color w:val="auto"/>
        </w:rPr>
        <w:t>” and subsequently, the FASB issued several amendments which amend certain aspects of the guidance in ASC 2014-09 (ASU No. 2014-09 and the related amendments are collectively referred to as “</w:t>
      </w:r>
      <w:r>
        <w:rPr>
          <w:rFonts w:ascii="Times New Roman" w:cs="Times New Roman" w:eastAsia="Times New Roman" w:hAnsi="Times New Roman"/>
          <w:sz w:val="17"/>
          <w:szCs w:val="17"/>
          <w:b w:val="1"/>
          <w:bCs w:val="1"/>
          <w:color w:val="auto"/>
        </w:rPr>
        <w:t>ASC 606</w:t>
      </w:r>
      <w:r>
        <w:rPr>
          <w:rFonts w:ascii="Times New Roman" w:cs="Times New Roman" w:eastAsia="Times New Roman" w:hAnsi="Times New Roman"/>
          <w:sz w:val="17"/>
          <w:szCs w:val="17"/>
          <w:color w:val="auto"/>
        </w:rPr>
        <w:t>”). According to ASC 606, revenue is recognized when control of the promised good or service is transferred to the customers, in an amount that reflects the consideration we expect to be entitled to in exchange for those goods or services. We will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 We adopted ASC 606 for all periods presented.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revenue is primarily derived from (i) home water systems, which are composed of smart water purification systems, kettles and heaters, (ii) consumables complementary to the home water systems, such as water purifiers filters, and (iii) kitchen appliances and others refer to range hoods, gas stoves and other small appliances, as well as product installation services and rental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to Xiaomi</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From 2023 to 2025, we generated a substantial portion of our revenues from sales of products to Xiaomi.</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the cooperation agreement entered into between Xiaomi and us, we are responsible for design, research, development, production and delivery of designated products using the brand name of “</w:t>
      </w:r>
      <w:r>
        <w:rPr>
          <w:rFonts w:ascii="Times New Roman" w:cs="Times New Roman" w:eastAsia="Times New Roman" w:hAnsi="Times New Roman"/>
          <w:sz w:val="17"/>
          <w:szCs w:val="17"/>
          <w:b w:val="1"/>
          <w:bCs w:val="1"/>
          <w:color w:val="auto"/>
        </w:rPr>
        <w:t>Xiaomi</w:t>
      </w:r>
      <w:r>
        <w:rPr>
          <w:rFonts w:ascii="Times New Roman" w:cs="Times New Roman" w:eastAsia="Times New Roman" w:hAnsi="Times New Roman"/>
          <w:sz w:val="17"/>
          <w:szCs w:val="17"/>
          <w:color w:val="auto"/>
        </w:rPr>
        <w:t>,” or Xiaomi-branded products, and Xiaomi is responsible for commercial distributions and sales. We also sell some Viomi-branded products to Xiaomi.</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Revenue is recognized upon acceptance by this customer, which is considered at the time the control of the products is transferred to Xiaomi. Revenue does not meet the criteria to be recognized over time since (i) even if the products use “Xiaomi” brand, it does not require significant rework to make them suitable to be sold to other customers, (ii) under the cooperation agreement, we do not have the right of payment for the work performed to date.</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For a majority of types of products sold to this customer, the selling price is a fixed amount as agreed by both parties. For other types of products sold to this customer, the sales arrangement includes two installment payments. The first installment is priced to recover the costs incurred by us in developing, producing and shipping the products to this customer and is payable to us upon acceptance by the customer after delivery. We are also entitled to receive a potential second installment payment calculated as certain portion of the future gross profits from commercial sales made by this customer. Accordingly, we determine the sales price as the fixed first installment payment plus the variable second installment payment to the extent that it is probable that revenue reversal will not occur when settling with the customer subsequently. We estimate the variable consideration using the expected value method. In assessing the variable second installment payment, we take into consideration the historical experience with the customer, selling price of the same or similar products as at the report date as well as the recent market trend. For the years ended December 31, 2023, 2024 and 2025, net revenues earned from second installment payment arrangement represented 3.4%, 10.5% and 10.2% of total revenue from Xiaomi, respectively.</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Sales to third-party customers, including: sales to leading e-commerce platforms and offline third-party stores; and sales to customers directly through the online platforms operated by Xiaomi, third parties and 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Sales to leading e-commerce platforms and offline stores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Pursuant to the contracts between leading e-commerce platforms/offline stores, or the E-Commerce Platforms and Stores, and us, the E-Commerce Platforms and Stores have legal title and physical possession of the products upon acceptance and they would bear the inventory risk of loss due to physical damage before the products are transferred and accepted by end customers. The E-Commerce Platforms and Stores are responsible for delivering the products to end customers and can direct the use of the products and obtain the remaining benefits from the products by reselling the products. The E-Commerce Platforms and Stores have flexibility in determining the retail sales price within relatively broad price range set by us. Based on these indicators, we determined the E-Commerce Platforms and Stores (as opposed to the end customers) as its customers according to ASC 606-10-55-39. We recognize revenue equal to the sales price to the E-Commerce Platforms and Stores when control of the inventory is transferred.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Sales to customers directly through the online platforms operated by Xiaomi, third parties and us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Under the cooperation agreements entered between online platforms and us, the platforms’ responsibilities are limited to offering an online marketplace, while we are primarily obligated in a sales transaction and takes inventory risk and has latitude in determining prices. The platforms charged us commission fees at pre-determined amounts or a fixed rate based on the sales amounts. Commission fees are recognized as selling expenses. We determine the end customers (as opposed to the platforms) as its customers and recognize revenue equal to the sales price to the end customers when control of the inventory is transferred.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Rendering of services</w:t>
      </w:r>
    </w:p>
    <w:p>
      <w:pPr>
        <w:spacing w:after="0" w:line="212"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We provide installation service to end customers for designated Viomi-branded products without separate charge. The end customers have the right, not the obligation, to ask us to provide installation service. The installation service is considered being distinct and accounted for as a separate performance obligation as the products and installation services are not inputs into a combined item the end customer has contracted to receive. In addition, we do not provide any significant integration, modification, or customization services. It can fulfill its obligation to transfer each of the products or services separately. End customers do not always exercise their rights to ask for installation services as the installation may not be complicated and could be done by end customers themselves. Therefore, we expect to be entitled to a breakage amount in the contract liabilities related to installation services. We estimate the breakage portion based on historical customers’ requests and recognize estimated breakage as revenue in proportion to the pattern of rights exercised by end customers. The assessment of estimated breakage would be updated on a semi-annually basis. Changes in estimated breakage should be accounted for by adjusting contract liabilities to reflect the remaining rights expected to be exercised.</w:t>
      </w:r>
    </w:p>
    <w:p>
      <w:pPr>
        <w:spacing w:after="0" w:line="16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Judgment is required to determine standalone selling price for each distinct performance obligation and we then allocate the arrangement consideration to the separate accounting of each distinct performance obligation based on its relevant standalone selling price. The standalone selling price of the products is determined based on adjusted market assessment approach by estimating the price the customer is willing to pay for the product without installation service. For the standalone selling price of the installation services, we semi-annually determine it by using a cost plus margin approach by referring to actual installation costs charged by the third-party vendors, plus an estimated profit margin of 5% based on consideration of both company specific and relevant market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returns and sales incentives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Sales to leading e-commerce platforms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sales to leading e-commerce platforms started in 2018. As stipulated in the contracts, slow-moving goods are those unsold products after they are controlled by the e-commerce platforms for more than 30 days or 45 days or 60 days, depending on the different categories of products. We shall coordinate with the e-commerce platforms to sell the slowing-moving products to end customers through promotions within 30 or 60 days, otherwise, the e-commerce platforms can (i) return such slow-moving products, or (ii) sell on discount as determined by the e-commerce platforms. We shall bear all losses caused by such discounted sales. Based on our history of cooperation with the e-commerce platforms and the pattern that the e-commerce platforms dealt with slow-moving goods, we estimate that slow-moving goods will be returned to us instead of being sold through discounted sales by the e-commerce platforms. Under ASC 606, a right of return is not a separate performance obligation, but it affects the estimated transaction price for transferred goods. Revenue is only recognized for those products that are not expected to be returned. The estimate of expected returns should be determined in the same way as other variable consideration. Based on historical information and other relevant evidence, including the expected sales and inventory level of the e-commerce platforms, we assess if it is probable there will be no significant reversal of cumulative revenue, and recognize those sales as revenue. We would update our estimate of expected returns at each period end. The expected return asset is presented and assessed for impairment separately from the refund liability. We will assess the expected return asset for impairment, and adjust the value of the asset if it becomes impaired.</w:t>
      </w:r>
    </w:p>
    <w:p>
      <w:pPr>
        <w:spacing w:after="0" w:line="17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 we might provide various consideration to the e-commerce platforms, such as gross margin guarantee, advertising and promotion fees, in the form of cash, or directly reducing amounts owed to us by the e-commerce platforms. We evaluate each type of incentives or fees to be paid in accordance with ASC 606. Considering that we either do not receive any service from the e-commerce platforms or cannot elect to engage another vendor to provide similar advertising services on a standalone basis, we reduce the transaction price for the sale of products by the amount of various consideration payable to the e-commerce platforms.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- 7 days unconditional sales return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Under the PRC Consumer Protection Law, end customers have an unconditional right to return the products purchased through online platforms within 7 days. We base our estimates of sales return on historical results. For the years ended December 31, 2023, 2024 and 2025, the amount of sales return was insignificant. We may provide sales incentives in the forms of discounts to end customers through online platforms for a group of products. Revenue, recognized on a net basis after such sales incentives, are allocated based on the relative standalone selling prices for respective products.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Warranty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offer product warranty pursuant to standard product quality required by the PRC Consumer Protection Law. The warranty period is calculated starting from the date when products are sold to the end customers. We have the obligation, at the customer’s sole discretion, to either repair or replace the defective product. The customers cannot separately purchase the warranty and the warranty doesn’t provide the customer with additional service other than assurance that the product will function as expected. Therefore, these warranties are accounted for in accordance with ASC 460 Guarantees. At the time revenue is recognized, an estimate of warranty expenses is recorded. The reserves established are regularly monitored based upon historical experience and any actual claims charged against the reserve. Warranty reserves are recorded as cost of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realizable value (“NRV”) of inventories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Inventories are stated at the lower of cost or NRV. Inventory costs are calculated on the actual cost basis including expenses that are directly or indirectly incurred in the purchase, and production of manufactured product. Expenses include the cost of materials, consignment manufacturing cost and other direct costs. Cost is determined using the weighted average method. We assess the valuation of inventory and periodically writes down the value for inventories when their costs are lower than the NRV. The NRV is determined based on the estimated net selling prices less the estimated costs to completion and other costs necessary to make the sale. Determination of estimated net selling prices of finished goods, estimated costs to completion and other costs necessary to make the sale required significant management judgments, taking into consideration historical actual information and expected future market trends. Write-downs are recorded in cost of revenues in the consolidated statements of comprehensive (loss)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expected credit losses for accounts and notes receivable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accounts and notes receivable from related parties and third parties are within the scope of ASC Topic 326. We have identified the relevant risk characteristics of our customers and the related accounts and notes receivable based on their credit rating. Receivables with similar risk characteristics have been grouped into pools. For each pool, we consider the historical credit loss experience, current economic conditions, supportable forecasts of future economic conditions, and any recoveries in assessing the lifetime expected credit losses. Other key factors that influence the expected credit loss analysis include payment terms offered in the normal course of business to customers and industry-specific factors that could impact our receivables. Additionally, macroeconomic factors are also considered. This is assessed at each quarter based on our specific facts and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 impairment assessment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review our long-lived assets for impairment whenever events or changes in circumstances indicate that the carrying amount of an asset may no longer be recoverable. When these events occur, we measure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we would recognize an impairment loss, which is the excess of carrying amount over the fair value of the assets, using the expected future discounted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allowance for deferred tax assets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 valuation allowance is provided to reduce the amount of deferred tax assets if it is considered more likely than not that some portion of, or all of the deferred tax assets will not be realized. In making such determination, we consider factors including future taxable income exclusive of reversing temporary differences and tax loss carry forwards. If events occur in the future that allow us to realize more of our deferred income tax than the presently recorded amounts, an adjustment to the valuation allowances will result in a decrease in tax expense when those events occur.</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DIRECTORS, SENIOR MANAGEMENT AND EMPLOYEES</w:t>
      </w:r>
    </w:p>
    <w:p>
      <w:pPr>
        <w:spacing w:after="0" w:line="208" w:lineRule="exact"/>
        <w:rPr>
          <w:sz w:val="20"/>
          <w:szCs w:val="20"/>
          <w:color w:val="auto"/>
        </w:rPr>
      </w:pPr>
    </w:p>
    <w:p>
      <w:pPr>
        <w:ind w:left="300" w:hanging="299"/>
        <w:spacing w:after="0"/>
        <w:tabs>
          <w:tab w:leader="none" w:pos="3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Directors and Senior Management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directors and executive officers as of the date of this annual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00" w:type="dxa"/>
            <w:vAlign w:val="bottom"/>
          </w:tcPr>
          <w:p>
            <w:pPr>
              <w:spacing w:after="0"/>
              <w:rPr>
                <w:sz w:val="19"/>
                <w:szCs w:val="19"/>
                <w:color w:val="auto"/>
              </w:rPr>
            </w:pPr>
          </w:p>
        </w:tc>
        <w:tc>
          <w:tcPr>
            <w:tcW w:w="652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7"/>
                <w:szCs w:val="17"/>
                <w:b w:val="1"/>
                <w:bCs w:val="1"/>
                <w:color w:val="auto"/>
              </w:rPr>
              <w:t>Position/Title</w:t>
            </w:r>
          </w:p>
        </w:tc>
      </w:tr>
      <w:tr>
        <w:trPr>
          <w:trHeight w:val="178"/>
        </w:trPr>
        <w:tc>
          <w:tcPr>
            <w:tcW w:w="33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Xiaoping Chen</w:t>
            </w:r>
          </w:p>
        </w:tc>
        <w:tc>
          <w:tcPr>
            <w:tcW w:w="220" w:type="dxa"/>
            <w:vAlign w:val="bottom"/>
          </w:tcPr>
          <w:p>
            <w:pPr>
              <w:spacing w:after="0"/>
              <w:rPr>
                <w:sz w:val="15"/>
                <w:szCs w:val="15"/>
                <w:color w:val="auto"/>
              </w:rPr>
            </w:pPr>
          </w:p>
        </w:tc>
        <w:tc>
          <w:tcPr>
            <w:tcW w:w="92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3"/>
              </w:rPr>
              <w:t>51</w:t>
            </w:r>
          </w:p>
        </w:tc>
        <w:tc>
          <w:tcPr>
            <w:tcW w:w="200" w:type="dxa"/>
            <w:vAlign w:val="bottom"/>
          </w:tcPr>
          <w:p>
            <w:pPr>
              <w:spacing w:after="0"/>
              <w:rPr>
                <w:sz w:val="15"/>
                <w:szCs w:val="15"/>
                <w:color w:val="auto"/>
              </w:rPr>
            </w:pPr>
          </w:p>
        </w:tc>
        <w:tc>
          <w:tcPr>
            <w:tcW w:w="65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Founder, Chairman of the Board of Directors and Chief Executive Officer</w:t>
            </w:r>
          </w:p>
        </w:tc>
      </w:tr>
      <w:tr>
        <w:trPr>
          <w:trHeight w:val="20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Qian Sun</w:t>
            </w:r>
          </w:p>
        </w:tc>
        <w:tc>
          <w:tcPr>
            <w:tcW w:w="114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3"/>
              </w:rPr>
              <w:t>43</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Jinling Zhang</w:t>
            </w:r>
          </w:p>
        </w:tc>
        <w:tc>
          <w:tcPr>
            <w:tcW w:w="114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3"/>
              </w:rPr>
              <w:t>54</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Weijiang Wu</w:t>
            </w:r>
          </w:p>
        </w:tc>
        <w:tc>
          <w:tcPr>
            <w:tcW w:w="114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3"/>
              </w:rPr>
              <w:t>49</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Jun Li</w:t>
            </w:r>
          </w:p>
        </w:tc>
        <w:tc>
          <w:tcPr>
            <w:tcW w:w="114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color w:val="auto"/>
                <w:w w:val="93"/>
              </w:rPr>
              <w:t>47</w:t>
            </w:r>
          </w:p>
        </w:tc>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82"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Mr. Xiaoping Chen </w:t>
      </w:r>
      <w:r>
        <w:rPr>
          <w:rFonts w:ascii="Times New Roman" w:cs="Times New Roman" w:eastAsia="Times New Roman" w:hAnsi="Times New Roman"/>
          <w:sz w:val="17"/>
          <w:szCs w:val="17"/>
          <w:color w:val="auto"/>
        </w:rPr>
        <w:t>is our founder, and has served as the chairman of our board of directors and chief executive officer since our inception. Mr. Chen founded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company in May 2014. Prior to that, he served multiple positions in Midea Group Co., Ltd from 1999 to 2014, including vice president of development department, and he was in charge of its research &amp; development center from 2013 to 2014. Mr. Chen received his MBA degree from Sun Yat-sen University, and his dual bachelor’s degrees in engineering and finance from Huazhong University of Science &amp; Technology in 1998.</w:t>
      </w:r>
    </w:p>
    <w:p>
      <w:pPr>
        <w:spacing w:after="0" w:line="168"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Mr. Qian Sun </w:t>
      </w:r>
      <w:r>
        <w:rPr>
          <w:rFonts w:ascii="Times New Roman" w:cs="Times New Roman" w:eastAsia="Times New Roman" w:hAnsi="Times New Roman"/>
          <w:sz w:val="16"/>
          <w:szCs w:val="16"/>
          <w:color w:val="auto"/>
        </w:rPr>
        <w:t>has served as our director since February 2026. Mr. Sun serves as the General Manager of the Strategic Investment Department of Xiaomi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Corporation, or Xiaomi (HKEX: 1810) and as President of Airstar Digital Technology, an indirect wholly-owned subsidiary of Xiaomi. He joined Xiaomi in July 2017 and has since held rotating positions in Xiaomi’s Strategy Department, Internet Business Department and China Region. From March 2021 to November 2025, he served as Vice President of Xiaomi’s Finance Department, responsible for the overall financial operations. Prior to joining Xiaomi, Mr. Sun spent 12 years at PricewaterhouseCoopers, where he specialized in audit and consulting services for the technology, media and telecommunications (TMT) industry. Mr. Sun graduated from the University of International Business and Economics in 2005, majoring in International Trade. He received his Executive Master of Business Administration (EMBA) degree from the Guanghua School of Management, Peking University in 2024. He also holds the Chinese Certified Public Accountant (CICPA) qualification.</w:t>
      </w:r>
    </w:p>
    <w:p>
      <w:pPr>
        <w:spacing w:after="0" w:line="16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Ms. Jinling Zhang </w:t>
      </w:r>
      <w:r>
        <w:rPr>
          <w:rFonts w:ascii="Times New Roman" w:cs="Times New Roman" w:eastAsia="Times New Roman" w:hAnsi="Times New Roman"/>
          <w:sz w:val="17"/>
          <w:szCs w:val="17"/>
          <w:color w:val="auto"/>
        </w:rPr>
        <w:t>has served as our independent director since September 2018. Ms. Zhang has served as the managing partner and chief financial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Baidu Venture since November 2020 and the chief financial officer of Baidu Capital since 2018. Prior to her current role at Baidu Capital, Ms. Zhang served as the vice president of Baidu Group in 2017, the vice president of finance and investment of Xiaomi from 2013 to 2016, as the financial controller of Cisco Networks Asia Pacific in Japan and Greater China from 2010 to 2013, and as the financial and operational controller of global operations in Seagate Technology from 2006 to 2010. Ms. Zhang received her bachelor’s degree in accounting from Capital University of Economics and Business in 1994, and her MBA from William E. Simon Business School of the University of Rochester in 2001. Ms. Zhang is a Chinese Certified Public Accountant, a Chinese Certified Tax Adviser and an American Certified Public Accountant.</w:t>
      </w:r>
    </w:p>
    <w:p>
      <w:pPr>
        <w:spacing w:after="0" w:line="17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Mr. Weijiang Wu </w:t>
      </w:r>
      <w:r>
        <w:rPr>
          <w:rFonts w:ascii="Times New Roman" w:cs="Times New Roman" w:eastAsia="Times New Roman" w:hAnsi="Times New Roman"/>
          <w:sz w:val="17"/>
          <w:szCs w:val="17"/>
          <w:color w:val="auto"/>
        </w:rPr>
        <w:t>has served as our independent director since September 2018. Mr. Wu has been the vice president of Zhejiang Youpon Integrated Ceiling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 Ltd., a Shenzhen Stock Exchange listed company, since March 2010, and served several senior roles in charge of marketing and strategies from 2005 to 2009.</w:t>
      </w:r>
    </w:p>
    <w:p>
      <w:pPr>
        <w:sectPr>
          <w:pgSz w:w="11900" w:h="16838" w:orient="portrait"/>
          <w:cols w:equalWidth="0" w:num="1">
            <w:col w:w="11240"/>
          </w:cols>
          <w:pgMar w:left="320" w:top="224" w:right="339" w:bottom="0" w:gutter="0" w:footer="0" w:header="0"/>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17"/>
          <w:szCs w:val="17"/>
          <w:color w:val="auto"/>
        </w:rPr>
        <w:t>Prior to his roles in Zhejiang Youpon Tegrated Ceiling Co., Ltd., Mr. Wu served as assistant to marketing manager in Guangdong Opple Lighting Co., Ltd. From 2003 to 2004, and the chief of the franchising department in Guangdong Vatti Group from 2001 to 2002. Mr. Wu received his bachelor’s degree in engineering from Huazhong University of Science &amp; Technology in 1998.</w:t>
      </w:r>
    </w:p>
    <w:p>
      <w:pPr>
        <w:spacing w:after="0" w:line="16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Mr. Jun Li </w:t>
      </w:r>
      <w:r>
        <w:rPr>
          <w:rFonts w:ascii="Times New Roman" w:cs="Times New Roman" w:eastAsia="Times New Roman" w:hAnsi="Times New Roman"/>
          <w:sz w:val="17"/>
          <w:szCs w:val="17"/>
          <w:color w:val="auto"/>
        </w:rPr>
        <w:t>has served as our independent director since September 2019. Mr. Li is a professor, Ph. D. supervisor, and the Dean of College of Engineering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South China Agricultural University. Prior to joining South China Agricultural University in July 2007, Mr. Jun Li served as the sales and services manager in Wuyang-Honda Motors (Guangzhou) Co., Ltd from July 1998 to August 2002. Mr. Jun Li received his master’s degree in mechatronic engineering in 2004 and his doctor’s degree in vehicle engineering in 2007, both from South China University of Technology.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and Indemnification Agreements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conviction or plea of guilty to a felony or any crime involving moral turpitude, dishonest acts to our detriment, misconduct or continued failure to perform agreed duties, or willful misconduct or gross negligence in performing the duties. We may also terminate an executive officer’s employment without cause upon 60-day advance written notice. In such case of termination by us, we will provide severance payments to the executive officer as may be agreed between us and the executive officer. The executive officer may resign at any time with a 60-day advance written notice.</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non-competition and non-solicitation restrictions during the term of his or her employment and typically for one years following the termination of employment. Specifically, each executive officer has agreed not to (i) approach our suppliers, clients, customers or contacts or other persons or entities introduced to the executive officer in his or her capacity as a representative of us for the purpose of doing similar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(iii) seek directly or indirectly, to solicit the services of any of our employees who is known to be employed or engaged by us; or (iv) otherwise interfere with our business or accounts.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65" w:lineRule="exact"/>
        <w:rPr>
          <w:sz w:val="20"/>
          <w:szCs w:val="20"/>
          <w:color w:val="auto"/>
        </w:rPr>
      </w:pPr>
    </w:p>
    <w:p>
      <w:pPr>
        <w:ind w:left="300" w:hanging="299"/>
        <w:spacing w:after="0"/>
        <w:tabs>
          <w:tab w:leader="none" w:pos="30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Compensation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2025, we paid an aggregate of approximately RMB4.2 million (US$0.6 million) in cash to our executive officers, and RMB1.1 million (US$0.2 million) to our independent directors. We have not set aside or accrued any amount to provide pension, retirement or other similar benefits to our directors and executive officers. Our PRC subsidiaries and VIEs are required by law to make contributions equal to certain percentages of each employee’s salary for his or her pension insurance, medical insurance, unemployment insurance and other statutory benefits and a housing provident fund.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2015 Share Incentive Plan</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September 2015, our shareholders and board of directors adopted the 2015 Share Incentive Plan, or the 2015 Plan, to attract and retain the best available personnel, provide additional incentives to employees, directors and consultants and promote the success of our business. Our board of directors amended the 2015 Plan in October 2023 to extend the effective term from 10 years to 20 years, among other changes, subject to certain exceptions with respect to incentive stock options. The maximum aggregate number of ordinary shares that may be issued pursuant to all awards under the 2015 Plan is 12,727,272 shares. As of December 31, 2025, awards to purchase 2,625,274 ordinary shares have been granted and are outstanding under the 2015 Plan, excluding awards that were exercised, forfeited or cancelled after the relevant grant 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paragraphs summarize the terms of the 2015 Plan.</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Types of Awards. </w:t>
      </w:r>
      <w:r>
        <w:rPr>
          <w:rFonts w:ascii="Times New Roman" w:cs="Times New Roman" w:eastAsia="Times New Roman" w:hAnsi="Times New Roman"/>
          <w:sz w:val="17"/>
          <w:szCs w:val="17"/>
          <w:color w:val="auto"/>
        </w:rPr>
        <w:t>The 2015 Plan permits the awards of options and restricted shares.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Plan Administration. The plan may be administered by our board of directors or one or more committees designated by our board of directors or another committee within its delegated authority. The plan administrator will determine the participants who are to receive awards, the type or types of awards to be granted, the number of awards to be granted, and the terms and conditions of each award grant. The plan administrator can amend outstanding awards and interpret the terms of the 2015 Plan and any award agreement.</w:t>
      </w:r>
    </w:p>
    <w:p>
      <w:pPr>
        <w:spacing w:after="0" w:line="17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Award Agreement. </w:t>
      </w:r>
      <w:r>
        <w:rPr>
          <w:rFonts w:ascii="Times New Roman" w:cs="Times New Roman" w:eastAsia="Times New Roman" w:hAnsi="Times New Roman"/>
          <w:sz w:val="17"/>
          <w:szCs w:val="17"/>
          <w:color w:val="auto"/>
        </w:rPr>
        <w:t>Awards granted under the 2015 Plan are evidenced by an award agreement that sets forth the terms and conditions for each grant.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agreements evidencing the awards shall contain the terms established by the plan administrator for that award, as well as any other terms, provisions, or restrictions that the plan administrator may impose on the award or any ordinary shares subject to the award of option.</w:t>
      </w:r>
    </w:p>
    <w:p>
      <w:pPr>
        <w:spacing w:after="0" w:line="164"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Exercise of Awards. </w:t>
      </w:r>
      <w:r>
        <w:rPr>
          <w:rFonts w:ascii="Times New Roman" w:cs="Times New Roman" w:eastAsia="Times New Roman" w:hAnsi="Times New Roman"/>
          <w:sz w:val="17"/>
          <w:szCs w:val="17"/>
          <w:color w:val="auto"/>
        </w:rPr>
        <w:t>The exercise price of an award will be determined by the plan administrator, which will be specified in applicable award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option shall expire not more than 20 years after its date of grant, subject to certain exceptions with respective to incentive stock options. Each restricted share shall vest or be repurchased by the Company not more than 20 years after the date of its grant, subject to earlier termination.</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Eligibility. </w:t>
      </w:r>
      <w:r>
        <w:rPr>
          <w:rFonts w:ascii="Times New Roman" w:cs="Times New Roman" w:eastAsia="Times New Roman" w:hAnsi="Times New Roman"/>
          <w:sz w:val="17"/>
          <w:szCs w:val="17"/>
          <w:color w:val="auto"/>
        </w:rPr>
        <w:t>We may grant awards to officers, employees, members of the board of directors, consultants or advisors of us or any of our affiliates, subject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restrictions.</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Vesting Schedule. </w:t>
      </w:r>
      <w:r>
        <w:rPr>
          <w:rFonts w:ascii="Times New Roman" w:cs="Times New Roman" w:eastAsia="Times New Roman" w:hAnsi="Times New Roman"/>
          <w:sz w:val="17"/>
          <w:szCs w:val="17"/>
          <w:color w:val="auto"/>
        </w:rPr>
        <w:t>In general, the plan administrator determines the vesting schedule, which is set forth in the relevant award agreement.</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Transfer Restrictions. </w:t>
      </w:r>
      <w:r>
        <w:rPr>
          <w:rFonts w:ascii="Times New Roman" w:cs="Times New Roman" w:eastAsia="Times New Roman" w:hAnsi="Times New Roman"/>
          <w:sz w:val="17"/>
          <w:szCs w:val="17"/>
          <w:color w:val="auto"/>
        </w:rPr>
        <w:t>Awards may not be transferred in any manner by the recipient, except as otherwise provided in the 2015 Plan, such as by will 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laws of descent and distribution.</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Termination. </w:t>
      </w:r>
      <w:r>
        <w:rPr>
          <w:rFonts w:ascii="Times New Roman" w:cs="Times New Roman" w:eastAsia="Times New Roman" w:hAnsi="Times New Roman"/>
          <w:sz w:val="17"/>
          <w:szCs w:val="17"/>
          <w:color w:val="auto"/>
        </w:rPr>
        <w:t>The plan has a term of twenty years, provided that our board of directors may terminate the plan in whole or in part at any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2018 Share Incentive Plan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June 2018, our shareholders and board of directors adopted the 2018 Share Incentive Plan, or the 2018 Plan, to attract and retain the best available personnel, provide additional incentives to employees, directors and consultants and promote the success of our business. Our board of directors amended the 2018 Plan in October 2023 to extend the effective term from 10 years to 20 years, among other changes, subject certain exceptions with respect to incentive stock options. The maximum aggregate number of shares which may be issued pursuant to all awards is 17,672,728, plus an annual increase on the first day of each of the fiscal years of the Company during the term of this Plan commencing with the first fiscal year beginning January 1, 2019, by (i) an amount equal to 1% of the total number of the then outstanding shares or (ii) such fewer number of Shares as may be determined by the Board. As of December 31, 2025, the maximum of shares that may be issued under the 2018 Share Incentive Plan was 32,167,023. As of December 31, 2025, awards to purchase 22,411,631 ordinary shares have been granted and are outstanding under the 2018 Plan, excluding awards that were forfeited or cancelled after the relevant grant dates.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paragraphs summarize the terms of the 2018 Plan.</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Types of Awards. </w:t>
      </w:r>
      <w:r>
        <w:rPr>
          <w:rFonts w:ascii="Times New Roman" w:cs="Times New Roman" w:eastAsia="Times New Roman" w:hAnsi="Times New Roman"/>
          <w:sz w:val="17"/>
          <w:szCs w:val="17"/>
          <w:color w:val="auto"/>
        </w:rPr>
        <w:t>The 2018 Plan permits the awards of options, restricted shares and restricted share units.</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Plan Administration. </w:t>
      </w:r>
      <w:r>
        <w:rPr>
          <w:rFonts w:ascii="Times New Roman" w:cs="Times New Roman" w:eastAsia="Times New Roman" w:hAnsi="Times New Roman"/>
          <w:sz w:val="17"/>
          <w:szCs w:val="17"/>
          <w:color w:val="auto"/>
        </w:rPr>
        <w:t>The 2018 Plan may be administered by our board of directors or a committee designated by our board of directors or another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within its delegated authority. The plan administrator will determine the participants who are to receive awards, the type or types of awards to be granted, the number of awards to be granted, and the terms and conditions of each award grant. The plan administrator can amend outstanding awards and interpret the terms of the 2018 Plan and any award agreement under the 2018 Plan.</w:t>
      </w:r>
    </w:p>
    <w:p>
      <w:pPr>
        <w:spacing w:after="0" w:line="16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Award Agreement. </w:t>
      </w:r>
      <w:r>
        <w:rPr>
          <w:rFonts w:ascii="Times New Roman" w:cs="Times New Roman" w:eastAsia="Times New Roman" w:hAnsi="Times New Roman"/>
          <w:sz w:val="17"/>
          <w:szCs w:val="17"/>
          <w:color w:val="auto"/>
        </w:rPr>
        <w:t>Awards granted under the 2018 Plan are evidenced by an award agreement that sets forth the terms, conditions and limitations for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 The award agreements evidencing awards shall contain the terms established by the administrator for that award, as well as any other terms, provisions, or restrictions that the administrator may impose on the award or any ordinary shares subject to the award of option.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Exercise of Options. </w:t>
      </w:r>
      <w:r>
        <w:rPr>
          <w:rFonts w:ascii="Times New Roman" w:cs="Times New Roman" w:eastAsia="Times New Roman" w:hAnsi="Times New Roman"/>
          <w:sz w:val="17"/>
          <w:szCs w:val="17"/>
          <w:color w:val="auto"/>
        </w:rPr>
        <w:t>The exercise price per share subject to an option will be determined by the plan administrator, which will be specified in applicable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agreement. The term of any option shall not exceed twenty years, subject to certain exceptions.</w:t>
      </w:r>
    </w:p>
    <w:p>
      <w:pPr>
        <w:spacing w:after="0" w:line="15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Eligibility. </w:t>
      </w:r>
      <w:r>
        <w:rPr>
          <w:rFonts w:ascii="Times New Roman" w:cs="Times New Roman" w:eastAsia="Times New Roman" w:hAnsi="Times New Roman"/>
          <w:sz w:val="17"/>
          <w:szCs w:val="17"/>
          <w:color w:val="auto"/>
        </w:rPr>
        <w:t>We may grant awards to our employees, consultants, and directors of us or any of our subsidiaries as defined in the 2018 Plan, as determined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plan administrator.</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Vesting Schedule. </w:t>
      </w:r>
      <w:r>
        <w:rPr>
          <w:rFonts w:ascii="Times New Roman" w:cs="Times New Roman" w:eastAsia="Times New Roman" w:hAnsi="Times New Roman"/>
          <w:sz w:val="17"/>
          <w:szCs w:val="17"/>
          <w:color w:val="auto"/>
        </w:rPr>
        <w:t>In general, the plan administrator determines the vesting schedule, which is set forth in the relevant award agreement.</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Transfer Restrictions. </w:t>
      </w:r>
      <w:r>
        <w:rPr>
          <w:rFonts w:ascii="Times New Roman" w:cs="Times New Roman" w:eastAsia="Times New Roman" w:hAnsi="Times New Roman"/>
          <w:sz w:val="17"/>
          <w:szCs w:val="17"/>
          <w:color w:val="auto"/>
        </w:rPr>
        <w:t>Awards may not be transferred in any manner by the recipient, except as otherwise provided in the 2018 Plan, such as by will 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laws of descent and distribution.</w:t>
      </w:r>
    </w:p>
    <w:p>
      <w:pPr>
        <w:spacing w:after="0" w:line="15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and Amendment of the 2018 Plan. </w:t>
      </w:r>
      <w:r>
        <w:rPr>
          <w:rFonts w:ascii="Times New Roman" w:cs="Times New Roman" w:eastAsia="Times New Roman" w:hAnsi="Times New Roman"/>
          <w:sz w:val="17"/>
          <w:szCs w:val="17"/>
          <w:color w:val="auto"/>
        </w:rPr>
        <w:t>The 2018 Plan has a term of twenty years, provided that our board of directors may terminate or amend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plan at any time. However, no such action may adversely affect in any material way any awards previously granted without prior written consent of the recipient, subject to certain exceptions.</w:t>
      </w:r>
    </w:p>
    <w:p>
      <w:pPr>
        <w:spacing w:after="0" w:line="16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summarizes, as of December 31, 2025, the awards granted under the 2015 Plan or the 2018 Plan to our directors and executive officers, excluding awards that were forfeited or cancelled after the relevant grant dates.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Ordinary Share</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7"/>
                <w:szCs w:val="17"/>
                <w:b w:val="1"/>
                <w:bCs w:val="1"/>
                <w:color w:val="auto"/>
                <w:w w:val="99"/>
              </w:rPr>
              <w:t>Underlying</w:t>
            </w:r>
          </w:p>
        </w:tc>
        <w:tc>
          <w:tcPr>
            <w:tcW w:w="182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(US$/Share)</w:t>
            </w:r>
          </w:p>
        </w:tc>
        <w:tc>
          <w:tcPr>
            <w:tcW w:w="188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Date of Grant</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0" w:type="dxa"/>
            <w:vAlign w:val="bottom"/>
          </w:tcPr>
          <w:p>
            <w:pPr>
              <w:spacing w:after="0"/>
              <w:rPr>
                <w:sz w:val="1"/>
                <w:szCs w:val="1"/>
                <w:color w:val="auto"/>
              </w:rPr>
            </w:pPr>
          </w:p>
        </w:tc>
      </w:tr>
      <w:tr>
        <w:trPr>
          <w:trHeight w:val="202"/>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Xiaoping Chen</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1,000,000</w:t>
            </w:r>
          </w:p>
        </w:tc>
        <w:tc>
          <w:tcPr>
            <w:tcW w:w="3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May 6, 2020</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April 1, 2030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Xiaoping Chen</w:t>
            </w:r>
          </w:p>
        </w:tc>
        <w:tc>
          <w:tcPr>
            <w:tcW w:w="1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1,000,000</w:t>
            </w:r>
          </w:p>
        </w:tc>
        <w:tc>
          <w:tcPr>
            <w:tcW w:w="340" w:type="dxa"/>
            <w:vAlign w:val="bottom"/>
          </w:tcPr>
          <w:p>
            <w:pPr>
              <w:spacing w:after="0"/>
              <w:rPr>
                <w:sz w:val="18"/>
                <w:szCs w:val="18"/>
                <w:color w:val="auto"/>
              </w:rPr>
            </w:pPr>
          </w:p>
        </w:tc>
        <w:tc>
          <w:tcPr>
            <w:tcW w:w="14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0.11</w:t>
            </w:r>
          </w:p>
        </w:tc>
        <w:tc>
          <w:tcPr>
            <w:tcW w:w="340" w:type="dxa"/>
            <w:vAlign w:val="bottom"/>
          </w:tcPr>
          <w:p>
            <w:pPr>
              <w:spacing w:after="0"/>
              <w:rPr>
                <w:sz w:val="18"/>
                <w:szCs w:val="18"/>
                <w:color w:val="auto"/>
              </w:rPr>
            </w:pPr>
          </w:p>
        </w:tc>
        <w:tc>
          <w:tcPr>
            <w:tcW w:w="188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October 1, 2024</w:t>
            </w: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September 30, 2034</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December 31, 2025, other employees as a group held outstanding options to purchase 23,036,905 ordinary shares of our company, at a weighted average exercise price of US$0.44 per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awarded to Mr. Xiaoping Chen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August 2018, we issued 4,000,000 class A ordinary shares at par value to Mr. Xiaoping Chen’s wholly owned entity Viomi Limited to award his contribution to our company’s rapid development. Such shares were immediately vested. The issuance of such shares is accounted for as a share-based compensation to Mr. Xiaoping Chen. The share-based compensation expenses related to this one-off share award was RMB90.2 million.</w:t>
      </w:r>
    </w:p>
    <w:p>
      <w:pPr>
        <w:spacing w:after="0" w:line="165" w:lineRule="exact"/>
        <w:rPr>
          <w:sz w:val="20"/>
          <w:szCs w:val="20"/>
          <w:color w:val="auto"/>
        </w:rPr>
      </w:pPr>
    </w:p>
    <w:p>
      <w:pPr>
        <w:ind w:left="300" w:hanging="299"/>
        <w:spacing w:after="0"/>
        <w:tabs>
          <w:tab w:leader="none" w:pos="30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Board Practices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board of directors consists of five directors. A director is not required to hold any shares in our company by way of qualification. A director may vote with respect to any contract, proposed contract, transaction or proposed transaction in which he is interested provided (a) such director has declared the nature of his interest at meeting of the board at which such contract or transaction or proposed contract or transaction shall come before the meeting for consideration, either specifically or by way of a general notice, (b) such director has not been disqualified by the chairman of the relevant board meeting, and (c) if such contract or arrangement is a transaction with a related party, such transaction has been approved by the audit committee in accordance with the Nasdaq rules. The directors may from time to time at their discretion exercise all the powers of the company to raise or borrow money, mortgage or charge its undertaking, property and assets (present and future) and uncalled capital or any part thereof, to issue debentures, debenture stock, bonds or other securities, whether outright or as collateral security for any debt, liability or obligation of the Company or of any third party. None of our non-executive directors has a service contract with us that provides for benefits upon termination of service.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Our audit committee consists of Ms. Jinling Zhang and Mr. Jun Li. Ms. Jinling Zhang is the chairperson of our audit committee. 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that Ms. Jinling Zhang and Mr. Jun Li satisfy the “independence” requirements of Rule 560(c)(2) of the Listing Rules of the Nasdaq and Rule 10A-3 under the Exchange Act. We have determined that Ms. Jinling Zhang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72" w:lineRule="exact"/>
        <w:rPr>
          <w:sz w:val="20"/>
          <w:szCs w:val="20"/>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the independent auditors and pre-approving all auditing and non-auditing services permitted to be performed by the independent auditors;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independent auditors any audit problems or difficulties and management’s response;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annual audited financial statements with management and the independent auditors;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accounting and internal control policies and procedures and any steps taken to monitor and control major financial risk exposures;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all proposed related party transactions;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separately and periodically with management and the independent auditors; and monitoring compliance with our code of business conduct and ethics, including reviewing the adequacy and effectiveness of our procedures to ensure proper compliance.</w:t>
      </w:r>
    </w:p>
    <w:p>
      <w:pPr>
        <w:spacing w:after="0" w:line="15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Our compensation committee consists of Mr. Xiaoping Chen, Ms. Jinling Zhang and Mr. Weijiang Wu. Ms. Jinling Zhang is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chairperson of our compensation committee. We have determined that Ms. Jinling Zhang and Mr. Weijiang Wu satisfy the “independence” requirements of Rule 5605(c)(2)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76" w:lineRule="exact"/>
        <w:rPr>
          <w:sz w:val="20"/>
          <w:szCs w:val="20"/>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to the board for its approval, the compensation for our chief executive officer and other executive officers;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for determination with respect to the compensation of our non-employee directors;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periodically and approving any incentive compensation or equity plans, programs or similar arrangements; and selecting compensation consultant, legal counsel or other adviser only after taking into consideration all factors relevant to that person’s independence from management.</w:t>
      </w:r>
    </w:p>
    <w:p>
      <w:pPr>
        <w:spacing w:after="0" w:line="15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Our nominating and corporate governance committee consists of Mr. Xiaoping Chen, Ms. Jinling Zhang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Mr. Weijiang Wu. Mr. Xiaoping Chen is the chairman of our nominating and corporate governance committee. We have determined that Ms. Jinling Zhang and Mr. Weijiang Wu satisfy the “independence” requirements of Rule 5605(c)(2) of the Listing Rules of the Nasdaq.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76" w:lineRule="exact"/>
        <w:rPr>
          <w:sz w:val="20"/>
          <w:szCs w:val="20"/>
          <w:color w:val="auto"/>
        </w:rPr>
      </w:pPr>
    </w:p>
    <w:p>
      <w:pPr>
        <w:ind w:left="5500" w:right="2720" w:hanging="4894"/>
        <w:spacing w:after="0" w:line="522" w:lineRule="auto"/>
        <w:tabs>
          <w:tab w:leader="none" w:pos="91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recommending to the board nominees for election by the shareholders or appointment by the board;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900" w:hanging="294"/>
        <w:spacing w:after="0" w:line="274" w:lineRule="auto"/>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annually with the board the current composition of the board with regards to characteristics such as independence, knowledge, skills, experience and diversity;</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on the frequency and structure of board meetings and monitoring the functioning of the committees of the board; and 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Duties of Directors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of directors has all the powers necessary for managing, and for directing and supervising, our business affairs. The functions and powers of our board of directors include, among others:</w:t>
      </w:r>
    </w:p>
    <w:p>
      <w:pPr>
        <w:spacing w:after="0" w:line="159" w:lineRule="exact"/>
        <w:rPr>
          <w:sz w:val="20"/>
          <w:szCs w:val="20"/>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shareholders’ annual and extraordinary general meetings and reporting its work to shareholders at such meetings;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declaring dividends and distributions;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officers and determining the term of office of the officers;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the borrowing powers of our company and mortgaging the property of our company; and approving the transfer of shares in our company, including the registration of such shares in our share register.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 of Directors and Officers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officers are appointed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board of directors resolve that his office be vacated; or (v) is removed from office pursuant to any other provision of our memorandum and articles of association.</w:t>
      </w:r>
    </w:p>
    <w:p>
      <w:pPr>
        <w:spacing w:after="0" w:line="172" w:lineRule="exact"/>
        <w:rPr>
          <w:sz w:val="20"/>
          <w:szCs w:val="20"/>
          <w:color w:val="auto"/>
        </w:rPr>
      </w:pPr>
    </w:p>
    <w:p>
      <w:pPr>
        <w:ind w:left="300" w:hanging="299"/>
        <w:spacing w:after="0"/>
        <w:tabs>
          <w:tab w:leader="none" w:pos="30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Employees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had 750 employees as of December 31, 2023, 521 employees as of December 31, 2024, and 725 employees as of December 31,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6"/>
              </w:rPr>
              <w:t>Table of Contents</w:t>
            </w:r>
          </w:p>
        </w:tc>
        <w:tc>
          <w:tcPr>
            <w:tcW w:w="802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1"/>
        </w:trPr>
        <w:tc>
          <w:tcPr>
            <w:tcW w:w="922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numbers of our employees categorized by function as of December 31, 2025:</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12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2"/>
        </w:trPr>
        <w:tc>
          <w:tcPr>
            <w:tcW w:w="9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Function:</w:t>
            </w:r>
          </w:p>
        </w:tc>
        <w:tc>
          <w:tcPr>
            <w:tcW w:w="2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195"/>
        </w:trPr>
        <w:tc>
          <w:tcPr>
            <w:tcW w:w="9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9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Manufacturing</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223</w:t>
            </w:r>
          </w:p>
        </w:tc>
      </w:tr>
      <w:tr>
        <w:trPr>
          <w:trHeight w:val="202"/>
        </w:trPr>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w:t>
            </w:r>
          </w:p>
        </w:tc>
      </w:tr>
      <w:tr>
        <w:trPr>
          <w:trHeight w:val="214"/>
        </w:trPr>
        <w:tc>
          <w:tcPr>
            <w:tcW w:w="9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General administration</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tcPr>
          <w:p>
            <w:pPr>
              <w:spacing w:after="0"/>
              <w:rPr>
                <w:sz w:val="18"/>
                <w:szCs w:val="18"/>
                <w:color w:val="auto"/>
              </w:rPr>
            </w:pPr>
          </w:p>
        </w:tc>
      </w:tr>
      <w:tr>
        <w:trPr>
          <w:trHeight w:val="207"/>
        </w:trPr>
        <w:tc>
          <w:tcPr>
            <w:tcW w:w="9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invest significant resources in the recruitment and training of our employees in support of our fast-growing business operations. We have a variety of training programs.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required by laws and regulations in China, we participate in various employee social security plans that are organized by municipal and provincial governments, including housing, pension, medical insurance, childbirth insurance, work-related injury insurance, employment injury insurance, maternity insurance and unemployment insurance. We are required under PRC laws to make contributions to employee benefit plans at specified percentages of the salaries, bonuses and certain allowances of our employees, up to a maximum amount specified by the local government from time to time.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enter into standard confidentiality and employment agreements with our key employees. The agreements with our key personnel typically include standard non-compete covenants that prohibit the employee from competing with us, directly or indirectly, during his or her employment and for two years after the termination of his or her employment, provided that we pay compensation equal to a certain proportion of his or her pre-departure salary on a monthly basis during the restriction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believe that we maintain a good working relationship with our employees, and we have not experienced any material labor disputes.</w:t>
      </w:r>
    </w:p>
    <w:p>
      <w:pPr>
        <w:spacing w:after="0" w:line="204" w:lineRule="exact"/>
        <w:rPr>
          <w:sz w:val="20"/>
          <w:szCs w:val="20"/>
          <w:color w:val="auto"/>
        </w:rPr>
      </w:pPr>
    </w:p>
    <w:p>
      <w:pPr>
        <w:ind w:left="300" w:hanging="299"/>
        <w:spacing w:after="0"/>
        <w:tabs>
          <w:tab w:leader="none" w:pos="30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Share Ownership</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Except as specifically noted, the following table sets forth information with respect to the beneficial ownership of our shares as of February 28, 2026 by:</w:t>
      </w:r>
    </w:p>
    <w:p>
      <w:pPr>
        <w:spacing w:after="0" w:line="208" w:lineRule="exact"/>
        <w:rPr>
          <w:sz w:val="20"/>
          <w:szCs w:val="20"/>
          <w:color w:val="auto"/>
        </w:rPr>
      </w:pPr>
    </w:p>
    <w:p>
      <w:pPr>
        <w:ind w:left="900" w:hanging="294"/>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executive officers;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principal shareholders who beneficially own 5% or more of our total outstanding shares on an as-converted basis.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calculations in the table below are based on 201,965,189 ordinary shares outstanding, consisting of 99,200,641 Class A ordinary shares (excluding 12,145,923 Class A ordinary shares that were issued to our depositary bank and reserved for future grants under our share incentive plans and 15,703,314 Class A ordinary shares that were repurchased by us) and 102,764,548 Class B ordinary shares outstanding as of February 28, 2026.</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SEC. In computing the number of shares beneficially owned by a person and the percentage ownership and voting power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5"/>
        </w:trPr>
        <w:tc>
          <w:tcPr>
            <w:tcW w:w="518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Ordinary Shares Beneficially Owned</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5"/>
              </w:rPr>
              <w:t>%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 of total</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aggregate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ordinary</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voting</w:t>
            </w:r>
          </w:p>
        </w:tc>
        <w:tc>
          <w:tcPr>
            <w:tcW w:w="0" w:type="dxa"/>
            <w:vAlign w:val="bottom"/>
          </w:tcPr>
          <w:p>
            <w:pPr>
              <w:spacing w:after="0"/>
              <w:rPr>
                <w:sz w:val="1"/>
                <w:szCs w:val="1"/>
                <w:color w:val="auto"/>
              </w:rPr>
            </w:pPr>
          </w:p>
        </w:tc>
      </w:tr>
      <w:tr>
        <w:trPr>
          <w:trHeight w:val="252"/>
        </w:trPr>
        <w:tc>
          <w:tcPr>
            <w:tcW w:w="51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1320" w:type="dxa"/>
            <w:vAlign w:val="bottom"/>
            <w:gridSpan w:val="2"/>
          </w:tcPr>
          <w:p>
            <w:pPr>
              <w:jc w:val="center"/>
              <w:ind w:right="100"/>
              <w:spacing w:after="0" w:line="251" w:lineRule="exact"/>
              <w:rPr>
                <w:sz w:val="20"/>
                <w:szCs w:val="20"/>
                <w:color w:val="auto"/>
              </w:rPr>
            </w:pPr>
            <w:r>
              <w:rPr>
                <w:rFonts w:ascii="Times New Roman" w:cs="Times New Roman" w:eastAsia="Times New Roman" w:hAnsi="Times New Roman"/>
                <w:sz w:val="17"/>
                <w:szCs w:val="17"/>
                <w:b w:val="1"/>
                <w:bCs w:val="1"/>
                <w:color w:val="auto"/>
                <w:w w:val="90"/>
              </w:rPr>
              <w:t>power</w:t>
            </w:r>
            <w:r>
              <w:rPr>
                <w:rFonts w:ascii="Times New Roman" w:cs="Times New Roman" w:eastAsia="Times New Roman" w:hAnsi="Times New Roman"/>
                <w:sz w:val="28"/>
                <w:szCs w:val="28"/>
                <w:b w:val="1"/>
                <w:bCs w:val="1"/>
                <w:color w:val="auto"/>
                <w:w w:val="90"/>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94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Xiaoping Chen</w:t>
            </w:r>
            <w:r>
              <w:rPr>
                <w:rFonts w:ascii="Times New Roman" w:cs="Times New Roman" w:eastAsia="Times New Roman" w:hAnsi="Times New Roman"/>
                <w:sz w:val="26"/>
                <w:szCs w:val="26"/>
                <w:color w:val="auto"/>
                <w:vertAlign w:val="superscript"/>
              </w:rPr>
              <w:t>(1)</w:t>
            </w:r>
          </w:p>
        </w:tc>
        <w:tc>
          <w:tcPr>
            <w:tcW w:w="220" w:type="dxa"/>
            <w:vAlign w:val="bottom"/>
            <w:vMerge w:val="continue"/>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3,956,681</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68,536,364</w:t>
            </w:r>
          </w:p>
        </w:tc>
        <w:tc>
          <w:tcPr>
            <w:tcW w:w="3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35.9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Jinling Zhang</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Weijiang Wu</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Jun Li</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Qian Sun</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3,956,681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68,536,364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35.9</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Principal Shareholders:</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3"/>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Viomi Limited</w:t>
            </w:r>
            <w:r>
              <w:rPr>
                <w:rFonts w:ascii="Times New Roman" w:cs="Times New Roman" w:eastAsia="Times New Roman" w:hAnsi="Times New Roman"/>
                <w:sz w:val="27"/>
                <w:szCs w:val="27"/>
                <w:color w:val="auto"/>
                <w:vertAlign w:val="superscript"/>
              </w:rPr>
              <w:t>(2)</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2,200,000</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67,636,364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34.6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3"/>
          </w:tcPr>
          <w:p>
            <w:pPr>
              <w:spacing w:after="0" w:line="240" w:lineRule="exact"/>
              <w:rPr>
                <w:sz w:val="20"/>
                <w:szCs w:val="20"/>
                <w:color w:val="auto"/>
              </w:rPr>
            </w:pPr>
            <w:r>
              <w:rPr>
                <w:rFonts w:ascii="Times New Roman" w:cs="Times New Roman" w:eastAsia="Times New Roman" w:hAnsi="Times New Roman"/>
                <w:sz w:val="16"/>
                <w:szCs w:val="16"/>
                <w:color w:val="auto"/>
              </w:rPr>
              <w:t>Shunwei Talent Limited</w:t>
            </w:r>
            <w:r>
              <w:rPr>
                <w:rFonts w:ascii="Times New Roman" w:cs="Times New Roman" w:eastAsia="Times New Roman" w:hAnsi="Times New Roman"/>
                <w:sz w:val="27"/>
                <w:szCs w:val="27"/>
                <w:color w:val="auto"/>
                <w:vertAlign w:val="superscript"/>
              </w:rPr>
              <w:t>(3)</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15,355,371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60" w:type="dxa"/>
            <w:vAlign w:val="bottom"/>
            <w:gridSpan w:val="3"/>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Red Better Limited</w:t>
            </w:r>
            <w:r>
              <w:rPr>
                <w:rFonts w:ascii="Times New Roman" w:cs="Times New Roman" w:eastAsia="Times New Roman" w:hAnsi="Times New Roman"/>
                <w:sz w:val="27"/>
                <w:szCs w:val="27"/>
                <w:color w:val="auto"/>
                <w:vertAlign w:val="superscript"/>
              </w:rPr>
              <w:t>(4)</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330,000</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33,818,182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16.9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08" w:lineRule="exact"/>
        <w:rPr>
          <w:sz w:val="20"/>
          <w:szCs w:val="20"/>
          <w:color w:val="auto"/>
        </w:rPr>
      </w:pPr>
    </w:p>
    <w:p>
      <w:pPr>
        <w:jc w:val="both"/>
        <w:ind w:left="300" w:hanging="299"/>
        <w:spacing w:after="0" w:line="253" w:lineRule="auto"/>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stated, the business address of our directors and executive officers is Wansheng Square, Rm 1302 Tower C, Xingang East Road, Haizhu District, Guangzhou, Guangdong, 510220, People’s Republic of China. Ms. Jinling Zhang’s business address is 601, North Building, Tower C, Raycom InfoTech Park, No. 2 Kexueyuan South Road, Haidian District, Beijing, 100080, People’s Republic of China. Mr. Weijiang Wu’s business address is No. 388 Baibu Avenue, Baibu Town, Haiyan County, Jiaxing, Zhejiang, 314312, People’s Republic of China. Mr. Jun Li’s business address is No. 483 Wushan Road, Tianhe District, Guangzhou, Guangdong, 510642, People’s Republic of China. Mr. Qian Sun's business address is Xiaomi Campus, No. 33 Xierqi Middle Road, Beijing, 100085, People's Republic of China.</w:t>
      </w:r>
    </w:p>
    <w:p>
      <w:pPr>
        <w:spacing w:after="0" w:line="176" w:lineRule="exact"/>
        <w:rPr>
          <w:sz w:val="20"/>
          <w:szCs w:val="20"/>
          <w:color w:val="auto"/>
        </w:rPr>
      </w:pPr>
    </w:p>
    <w:p>
      <w:pPr>
        <w:jc w:val="both"/>
        <w:ind w:left="300" w:hanging="299"/>
        <w:spacing w:after="0" w:line="256" w:lineRule="auto"/>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or group included in this column, percentage of total voting power represents voting power based on both Class A and Class B ordinary shares beneficially owned by such person or group with respect to all outstanding shares of our Class A and Class B ordinary shares as a single class. Each holder of Class A ordinary shares is entitled to one vote per share. Each holder of our Class B ordinary shares is entitled to ten votes per share. Our Class B ordinary shares are convertible at any time by the holder into Class A ordinary shares on a one-for-one basis.</w:t>
      </w:r>
    </w:p>
    <w:p>
      <w:pPr>
        <w:spacing w:after="0" w:line="175" w:lineRule="exact"/>
        <w:rPr>
          <w:sz w:val="20"/>
          <w:szCs w:val="20"/>
          <w:color w:val="auto"/>
        </w:rPr>
      </w:pPr>
    </w:p>
    <w:p>
      <w:pPr>
        <w:jc w:val="both"/>
        <w:ind w:left="300" w:hanging="299"/>
        <w:spacing w:after="0" w:line="251"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1,000,000 Class A ordinary shares in the form of ADSs beneficially owned by Mr. Xiaoping Chen; (ii) 2,200,000 Class A ordinary shares and 67,636,364 Class B ordinary shares beneficially owned by Viomi Limited; (iii) 569,964 Class A ordinary shares in the form of ADS beneficially owned by VioCloud Limited, and (iv) 900,000 Class B ordinary shares and 186,717 Class A ordinary shares in the form of ADS beneficially owned by certain employees, based on the information contained in the Schedule 13G/A jointly filed by Mr. Xiaoping Chen, Viomi Limited and VioCloud Limited with SEC on February 12, 2026. Viomi Limited is wholly owned by a trust established for the benefit of Mr. Xiaoping Chen and his family. VioCloud Limited is wholly owned by Foshan Viomi. Mr. Xiaoping Chen directly holds 99.78% equity interests in Foshan Viomi and holds another 0.22% equity interests in it through a limited partnership controlled and managed by Mr. Xiaoping Chen. The abovementioned certain employees granted an irrevocable voting proxy for all their ordinary shares to Mr. Xiaoping Chen, and thus Mr. Xiaoping Chen has shared power to direct the voting of such shares but no power to dispose the same.</w:t>
      </w:r>
    </w:p>
    <w:p>
      <w:pPr>
        <w:spacing w:after="0" w:line="180"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67,636,364 Class B ordinary shares and 2,200,000 Class A ordinary shares held by Viomi Limited, a British Virgin Islands company, based on the information contained in the Schedule 13G/A jointly filed by Mr. Xiaoping Chen, Viomi Limited and VioCloud Limited with SEC on February 12, 2026. Viomi Limited is wholly owned by a trust established for the benefit of Mr. Xiaoping Chen and his family. The registered address of Viomi Limited is NovaSage Incorporation (BVI) Limited of NovaSage Chambers, P.O. Box 4389, Road Town, Tortola, British Virgin Islands.</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74" w:lineRule="auto"/>
        <w:tabs>
          <w:tab w:leader="none" w:pos="3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15,355,371 Class A ordinary shares in the form of ADSs held by Shunwei Talent Limited. Information regarding beneficial ownership is reported as of December 31, 2025, based on the information contained in the Schedule 13G/A filed by Shunwei Talent Limited with SEC on February 11, 2026. The registered address of Shunwei Talent Limited is Vistra Corporate Services Center, Wickhams Cay II, Road Town, Tortola, VG 1110, British Virgin Islands. Shunwei Talent Limited is wholly owned by Shunwei China Internet Fund II, L.P. The general partner of Shunwei China Internet Fund II, L.P. is Shunwei Capital Partners II GP, L.P., and the general partner of Shunwei Capital Partners II GP, L.P. is Shunwei Capital Partners II GP Limited, which is controlled by Mr. Koh Tuck Lye.</w:t>
      </w:r>
    </w:p>
    <w:p>
      <w:pPr>
        <w:spacing w:after="0" w:line="160" w:lineRule="exact"/>
        <w:rPr>
          <w:rFonts w:ascii="Times New Roman" w:cs="Times New Roman" w:eastAsia="Times New Roman" w:hAnsi="Times New Roman"/>
          <w:sz w:val="16"/>
          <w:szCs w:val="16"/>
          <w:color w:val="auto"/>
        </w:rPr>
      </w:pPr>
    </w:p>
    <w:p>
      <w:pPr>
        <w:jc w:val="both"/>
        <w:ind w:left="300" w:hanging="299"/>
        <w:spacing w:after="0" w:line="256"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33,818,182 Class B ordinary shares and 330,000 Class A ordinary shares in the form of ADSs held by Red Better Limited, a British Virgin Islands liability limited company. Information regarding beneficial ownership is reported as of December 31, 2018, based on the information contained in the Schedule 13G filed by Red Better Limited with SEC on February 1, 2019. The address of Red Better Limited is Jayla Place, Wickhams Cay 1, Road Town, Tortola, British Virgin Islands. Red Better Limited is wholly owned by Fast Pace Limited, a British Virgin Islands company wholly owned by Xiaomi Corporation.</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To our knowledge, as of February 28, 2026, we had 124,849,878 Class A ordinary shares that were held by one record holder residing in the United States, that being Deutsche Bank Trust Company Americas, the depositary of our ADS program. As of February 28, 2026, none of our Class B ordinary shares are held by U.S. record holders. The number of beneficial owners of our ADSs in the United States is likely to be much larger than the number of record holders of our ordinary shares in the United States.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not aware of any arrangement that may, at a subsequent date, result in a change of control of our company.</w:t>
      </w:r>
    </w:p>
    <w:p>
      <w:pPr>
        <w:sectPr>
          <w:pgSz w:w="11900" w:h="16838" w:orient="portrait"/>
          <w:cols w:equalWidth="0" w:num="1">
            <w:col w:w="11240"/>
          </w:cols>
          <w:pgMar w:left="320" w:top="209" w:right="3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600" w:right="4960" w:hanging="599"/>
        <w:spacing w:after="0" w:line="495" w:lineRule="auto"/>
        <w:tabs>
          <w:tab w:leader="none" w:pos="297"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Disclosure of a Registrant’s Action to Recover Erroneously Awarded Compensation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MAJOR SHAREHOLDERS AND RELATED PARTY TRANSACTIONS</w:t>
      </w:r>
    </w:p>
    <w:p>
      <w:pPr>
        <w:spacing w:after="0" w:line="208" w:lineRule="exact"/>
        <w:rPr>
          <w:sz w:val="20"/>
          <w:szCs w:val="20"/>
          <w:color w:val="auto"/>
        </w:rPr>
      </w:pPr>
    </w:p>
    <w:p>
      <w:pPr>
        <w:ind w:left="300" w:hanging="299"/>
        <w:spacing w:after="0"/>
        <w:tabs>
          <w:tab w:leader="none" w:pos="3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Major Shareholders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Please refer to “</w:t>
      </w:r>
      <w:r>
        <w:rPr>
          <w:rFonts w:ascii="Times New Roman" w:cs="Times New Roman" w:eastAsia="Times New Roman" w:hAnsi="Times New Roman"/>
          <w:sz w:val="17"/>
          <w:szCs w:val="17"/>
          <w:i w:val="1"/>
          <w:iCs w:val="1"/>
          <w:color w:val="auto"/>
        </w:rPr>
        <w:t>Item 6. Directors, Senior Management and Employees—E. Share Ownership</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left="300" w:hanging="299"/>
        <w:spacing w:after="0"/>
        <w:tabs>
          <w:tab w:leader="none" w:pos="3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Arrangements with Our VIEs and Their Respective Shareholders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4. Information on the Company—C. Organizational Structure.”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Agreement and Investor Rights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Shareholders agreement and registration rights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entered into a shareholders agreement on July 21, 2015 with our shareholders, which consist of holders of ordinary shares and preferred shares. The shareholders agreement provides for certain special rights, including right of first refusal, co-sale rights, preemptive rights and contains provisions governing the board of directors and other corporate governance matters. Those corporate governance provisions, as well as special rights, except the registration rights, automatically terminated upon the completion of our initial public offering, and the registration rights terminated on September 27,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and Indemnification Agreements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See “Item 6. Directors, Senior Management and Employees—A. Directors and Senior Management—Employment Agreements and Indemnification Agreements.”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Incentive Plans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See “Item 6. Directors, Senior Management and Employees—B. Compensation of Directors and Executive Officers—2015 Share Incentive Plan” and “Item 6. Directors, Senior Management and Employees—B. Compensation of Directors and Executive Officers—2018 Share Incentive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August 2018, we issued 4,000,000 class A ordinary shares to Mr. Xiaoping Chen’s wholly-owned entity Viomi Limited to award his contribution to our company’s rapid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Relationship with Xiaomi</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Xiaomi is our strategic partner, shareholder and customer. Our strategic partnership with Xiaomi provides us access to Xiaomi’s ecosystem users, sales platforms and data resources and related support. Meanwhile, our strong research and development capabilities, supply chain resources and innovative products and services are able to enrich Xiaomi’s suite of offerings, resulting in a mutually beneficial relationship between Xiaomi and us. Our cooperation with and sales to Xiaomi extends to a diversified range of products, which currently include Xiaomi-branded water purification systems, water purifier filters, range-hoods and gas stoves, dishwashers, sweeper robots, blenders as well as other complementary products such as kettles and water quality meters. Since the third quarter of 2021, we have started to largely scaled back the supply of Xiaomi-branded sweeper robots, while maintaining cooperation in other categories we have reached.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Under our cooperation agreement with Xiaomi, we are responsible for the design, research, development, production and delivery of various Xiaomi-branded products to Xiaomi. Xiaomi is then responsible for commercial distributions and sales. For certain products under our cooperation with Xiaomi, the selling price is a fixed amount as agreed by both parties. For other products, we first recover our manufacturers and logistics cost when we deliver to Xiaomi, and are additionally entitled to share a portion of the gross profit when Xiaomi is successful in selling such products to end consumers. A business cooperation agreement provides the terms and conditions of the latter pattern.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also sell products through Xiaomi’s online e-commerce channel, Youpin, and are charged of commissions pursuant to a commission sales agreement.</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2025, revenues generated from sales to Xiaomi, predominantly comprising Xiaomi-branded products, was RMB2,174.9 million (US$311.0 million), accounting for 89.6% of our net 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cooperation agreement</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currently effective business cooperation agreement with Xiaomi that was renewed in May 2023 governs the design, production and sales to Xiaomi in relation to certain specified product categories, including some SKUs of Xiaomi-branded water purification systems, water purifier filters, as well as other complementary products such as kettles and water quality meters. This contract will remain in effect until March 21, 2025. This agreement can be terminated prior to the expiration date by Xiaomi, among other reasons, if (i) we breach the material obligation underlying this agreement and purchase order, (ii) except as prohibited by applicable bankruptcy laws, we declare bankruptcy, or if we are unable to repay due loans, or perform contracts, or if our assets are transferred to or taken by other creditors, (iii) the products fail to meet Xiaomi’s requirements, and Xiaomi determines that there is no value to remedy or the products still fail the requirement after three times’ remedies, (iv) we delay the delivery of the products without reasonable causes and Xiaomi’s prior written consent, or (v) we fail to store the data to the Xiaomi Ecosystem Cloud or other server designated by Xiaomi, cause disputes of violating users’ personal information, or disclose user data to any third party without Xiaomi’s consent.</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the business cooperation agreement, (i) these products are exclusively designed for and can only be sold to Xiaomi, (ii) Xiaomi shall purchase these products at a price that covers all of our costs of raw materials, outsourcing manufacture, models and logistics, in connection with the manufacture and delivery of these products, and (iii) Xiaomi and we shall share gross profits, derived from sales of these products, the retail prices of which were set by Xiaomi and us together.</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Regarding the intellectual property, Xiaomi by itself owns all industrial designs generated from the process of design, development, manufacturing and sales of the products we sell to Xiaomi. Xiaomi and we have joint ownership over all other technology properties and related intellectual properties generated from the process of design, development, manufacturing and sales of these products.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Regarding user data, we shall share with Xiaomi user data collected in relation to the respective Xiaomi-branded products. We can share or license user data to third parties only after we obtain Xiaomi’s prior written consent. After the user data of Xiaomi-branded products reaches certain threshold, Xiaomi will also need to obtain our consent before making it available for use by any third party.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Youpin commission sales agreement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entered into a commission sales agreement with Xiaomi for the sale of our own branded products on Youpin. This agreement may be terminated by Xiaomi with 30 days’ written notice.</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the commission sales agreement, we shall pay a service fee, calculated as certain portion of the sales price excluding customers’ refunds or as otherwise agreed by the parties with respect to specific product lines, as well as a deposit to Xiaomi. The retail prices of our products on Youpin’s platform shall be no higher than the sales price from any other e-commerce merchants or our official offline sales channel, including in the event of sales or promotion.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with Xiaomi</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2025, we recorded RMB2,174.9 million (US$311.0 million) in revenues from Xiaomi primarily for the sales of Xiaomi-branded products. As of December 31, 2025, the amount due from Xiaomi was RMB302.2 million (US$43.2 million).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2024, we recorded RMB1,752.2 million in revenues from Xiaomi primarily for the sales of Xiaomi-branded products. As of December 31, 2024, the amount due from Xiaomi was RMB586.8 million.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2023, we recorded RMB1,292.9 million in revenues from Xiaomi primarily for the sales of Xiaomi-branded products. As of December 31, 2023, the amount due from Xiaomi was RMB4.4 million.</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purchased RMB26.3 million, RMB13.5 million and nil of products and services from Xiaomi in 2023, 2024 and 2025, respectively. We recognized RMB24.5 million, RMB20.4 million and RMB48.6 million (US$6.9 million) in commission fees and other expenses to Xiaomi in 2023, 2024 and 2025, respectively, which was incurred by selling our own Viomi-branded products on Youpin.</w:t>
      </w:r>
    </w:p>
    <w:p>
      <w:pPr>
        <w:spacing w:after="0" w:line="165" w:lineRule="exact"/>
        <w:rPr>
          <w:sz w:val="20"/>
          <w:szCs w:val="20"/>
          <w:color w:val="auto"/>
        </w:rPr>
      </w:pPr>
    </w:p>
    <w:p>
      <w:pPr>
        <w:ind w:left="600" w:right="8600" w:hanging="599"/>
        <w:spacing w:after="0" w:line="495" w:lineRule="auto"/>
        <w:tabs>
          <w:tab w:leader="none" w:pos="297"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Interests of Experts and Counsel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208" w:lineRule="exact"/>
        <w:rPr>
          <w:sz w:val="20"/>
          <w:szCs w:val="20"/>
          <w:color w:val="auto"/>
        </w:rPr>
      </w:pPr>
    </w:p>
    <w:p>
      <w:pPr>
        <w:ind w:left="300" w:hanging="299"/>
        <w:spacing w:after="0"/>
        <w:tabs>
          <w:tab w:leader="none" w:pos="30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Consolidated Statements and Other Financial Information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are currently not a party to any material legal or administrative proceedings. We may from time to time be subject to various legal or administrative claims and proceedings arising in the ordinary course of business. For instance, please refer to “</w:t>
      </w:r>
      <w:r>
        <w:rPr>
          <w:rFonts w:ascii="Times New Roman" w:cs="Times New Roman" w:eastAsia="Times New Roman" w:hAnsi="Times New Roman"/>
          <w:sz w:val="17"/>
          <w:szCs w:val="17"/>
          <w:i w:val="1"/>
          <w:iCs w:val="1"/>
          <w:color w:val="auto"/>
        </w:rPr>
        <w:t>Item 3. Key Information—D. Risk Factors—Risks Related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and Industry—We may encounter claims alleging our infringement of third-party intellectual properties from time to time</w:t>
      </w:r>
      <w:r>
        <w:rPr>
          <w:rFonts w:ascii="Times New Roman" w:cs="Times New Roman" w:eastAsia="Times New Roman" w:hAnsi="Times New Roman"/>
          <w:sz w:val="17"/>
          <w:szCs w:val="17"/>
          <w:color w:val="auto"/>
        </w:rPr>
        <w:t>” for information of certain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litigation. Litigation or any other legal or administrative proceeding, regardless of the outcome, is likely to result in substantial cost and diversion of our resources, including our management’s time and attention.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July 14, 2025, the board of directors of Viomi Technology Co., Ltd declared a special dividend of US$0.0293 per ordinary share, or US$0.0880 per ADS, to the holders of ordinary shares and holders of ADSs of record as of the close of business on July 31, 2025. On March 25, 2026, the board of directors of Viomi Technology Co., Ltd declared another special dividend of US$0.022 per ordinary share, or US$0.066 per ADS, to the holders of ordinary shares and holders of ADSs of record as of the close of business on April 6, 2026. Going forward, we intend to retain most, if not all, of our available funds and any future earnings to operate and expand our business. We do not have any present plan to pay regular cash dividends on our ordinary shares in the foreseeable future.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w:t>
      </w:r>
      <w:r>
        <w:rPr>
          <w:rFonts w:ascii="Times New Roman" w:cs="Times New Roman" w:eastAsia="Times New Roman" w:hAnsi="Times New Roman"/>
          <w:sz w:val="17"/>
          <w:szCs w:val="17"/>
          <w:i w:val="1"/>
          <w:iCs w:val="1"/>
          <w:color w:val="auto"/>
        </w:rPr>
        <w:t>Item 4. Information 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Company—B. Business Overview—Regulations—Regulations on dividend distributions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our ADS holders in proportion to Class A ordinary shares underlying the ADSs held by such ADS holders, subject to the terms of the deposit agreement, including the fees and expenses payable thereunder. See </w:t>
      </w:r>
      <w:r>
        <w:rPr>
          <w:rFonts w:ascii="Times New Roman" w:cs="Times New Roman" w:eastAsia="Times New Roman" w:hAnsi="Times New Roman"/>
          <w:sz w:val="17"/>
          <w:szCs w:val="17"/>
          <w:i w:val="1"/>
          <w:iCs w:val="1"/>
          <w:color w:val="auto"/>
        </w:rPr>
        <w:t>“Item 12. Description of Securities Other than Equity Securities—D. American Depositary Shares.”</w:t>
      </w:r>
      <w:r>
        <w:rPr>
          <w:rFonts w:ascii="Times New Roman" w:cs="Times New Roman" w:eastAsia="Times New Roman" w:hAnsi="Times New Roman"/>
          <w:sz w:val="17"/>
          <w:szCs w:val="17"/>
          <w:color w:val="auto"/>
        </w:rPr>
        <w:t xml:space="preserve"> Cash dividends on our Class A ordinary shares, if any, will be paid in U.S. dollars.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300" w:hanging="299"/>
        <w:spacing w:after="0"/>
        <w:tabs>
          <w:tab w:leader="none" w:pos="30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Significant Changes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15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THE OFFER AND LISTING</w:t>
      </w:r>
    </w:p>
    <w:p>
      <w:pPr>
        <w:spacing w:after="0" w:line="208" w:lineRule="exact"/>
        <w:rPr>
          <w:sz w:val="20"/>
          <w:szCs w:val="20"/>
          <w:color w:val="auto"/>
        </w:rPr>
      </w:pPr>
    </w:p>
    <w:p>
      <w:pPr>
        <w:ind w:left="300" w:hanging="299"/>
        <w:spacing w:after="0"/>
        <w:tabs>
          <w:tab w:leader="none" w:pos="30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Offering and Listing Details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ADSs, each representing three Class A ordinary shares of ours, have been listed on the Nasdaq Stock Market since September 25, 2018 under the symbol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“VIOT.”</w:t>
      </w:r>
    </w:p>
    <w:p>
      <w:pPr>
        <w:spacing w:after="0" w:line="188" w:lineRule="exact"/>
        <w:rPr>
          <w:sz w:val="20"/>
          <w:szCs w:val="20"/>
          <w:color w:val="auto"/>
        </w:rPr>
      </w:pPr>
    </w:p>
    <w:p>
      <w:pPr>
        <w:ind w:left="600" w:right="9500" w:hanging="599"/>
        <w:spacing w:after="0" w:line="526" w:lineRule="auto"/>
        <w:tabs>
          <w:tab w:leader="none" w:pos="297"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Plan of Distribution </w:t>
      </w:r>
      <w:r>
        <w:rPr>
          <w:rFonts w:ascii="Times New Roman" w:cs="Times New Roman" w:eastAsia="Times New Roman" w:hAnsi="Times New Roman"/>
          <w:sz w:val="16"/>
          <w:szCs w:val="16"/>
          <w:color w:val="auto"/>
        </w:rPr>
        <w:t>Not applicable.</w:t>
      </w:r>
    </w:p>
    <w:p>
      <w:pPr>
        <w:ind w:left="300" w:hanging="299"/>
        <w:spacing w:after="0"/>
        <w:tabs>
          <w:tab w:leader="none" w:pos="30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Markets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ADSs, each representing three Class A ordinary shares of ours, have been listed on the Nasdaq Stock Market since September 25, 2018 under the symbol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“VIOT.”</w:t>
      </w:r>
    </w:p>
    <w:p>
      <w:pPr>
        <w:spacing w:after="0" w:line="188" w:lineRule="exact"/>
        <w:rPr>
          <w:sz w:val="20"/>
          <w:szCs w:val="20"/>
          <w:color w:val="auto"/>
        </w:rPr>
      </w:pPr>
    </w:p>
    <w:p>
      <w:pPr>
        <w:ind w:left="600" w:right="9460" w:hanging="599"/>
        <w:spacing w:after="0" w:line="526" w:lineRule="auto"/>
        <w:tabs>
          <w:tab w:leader="none" w:pos="297"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Selling Shareholders </w:t>
      </w:r>
      <w:r>
        <w:rPr>
          <w:rFonts w:ascii="Times New Roman" w:cs="Times New Roman" w:eastAsia="Times New Roman" w:hAnsi="Times New Roman"/>
          <w:sz w:val="16"/>
          <w:szCs w:val="16"/>
          <w:color w:val="auto"/>
        </w:rPr>
        <w:t>Not applicable.</w:t>
      </w:r>
    </w:p>
    <w:p>
      <w:pPr>
        <w:ind w:left="300" w:hanging="299"/>
        <w:spacing w:after="0"/>
        <w:tabs>
          <w:tab w:leader="none" w:pos="30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Dilution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600" w:right="9420" w:hanging="599"/>
        <w:spacing w:after="0" w:line="526" w:lineRule="auto"/>
        <w:tabs>
          <w:tab w:leader="none" w:pos="297"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Expenses of the Issue </w:t>
      </w:r>
      <w:r>
        <w:rPr>
          <w:rFonts w:ascii="Times New Roman" w:cs="Times New Roman" w:eastAsia="Times New Roman" w:hAnsi="Times New Roman"/>
          <w:sz w:val="16"/>
          <w:szCs w:val="16"/>
          <w:color w:val="auto"/>
        </w:rPr>
        <w:t>Not applicable.</w:t>
      </w: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ADDITIONAL INFORMATION</w:t>
      </w:r>
    </w:p>
    <w:p>
      <w:pPr>
        <w:spacing w:after="0" w:line="208" w:lineRule="exact"/>
        <w:rPr>
          <w:sz w:val="20"/>
          <w:szCs w:val="20"/>
          <w:color w:val="auto"/>
        </w:rPr>
      </w:pPr>
    </w:p>
    <w:p>
      <w:pPr>
        <w:ind w:left="300" w:hanging="299"/>
        <w:spacing w:after="0"/>
        <w:tabs>
          <w:tab w:leader="none" w:pos="30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Share Capital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300" w:hanging="299"/>
        <w:spacing w:after="0"/>
        <w:tabs>
          <w:tab w:leader="none" w:pos="30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Memorandum and Articles of Association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are summaries of material provisions of our memorandum and articles of association and of the Companies Act of the Cayman Islands insofar as they relate to the material terms of our ordinary shares.</w:t>
      </w:r>
    </w:p>
    <w:p>
      <w:pPr>
        <w:spacing w:after="0" w:line="155"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Objects of Our Company. </w:t>
      </w:r>
      <w:r>
        <w:rPr>
          <w:rFonts w:ascii="Times New Roman" w:cs="Times New Roman" w:eastAsia="Times New Roman" w:hAnsi="Times New Roman"/>
          <w:sz w:val="17"/>
          <w:szCs w:val="17"/>
          <w:color w:val="auto"/>
        </w:rPr>
        <w:t>Under our memorandum and articles of association, the objects of our company are unrestricted and we have the full power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authority to carry out any object not prohibited by the Cayman Islands law.</w:t>
      </w:r>
    </w:p>
    <w:p>
      <w:pPr>
        <w:spacing w:after="0" w:line="151" w:lineRule="exact"/>
        <w:rPr>
          <w:sz w:val="20"/>
          <w:szCs w:val="20"/>
          <w:color w:val="auto"/>
        </w:rPr>
      </w:pPr>
    </w:p>
    <w:p>
      <w:pPr>
        <w:jc w:val="both"/>
        <w:ind w:firstLine="605"/>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Ordinary Shares. </w:t>
      </w:r>
      <w:r>
        <w:rPr>
          <w:rFonts w:ascii="Times New Roman" w:cs="Times New Roman" w:eastAsia="Times New Roman" w:hAnsi="Times New Roman"/>
          <w:sz w:val="16"/>
          <w:szCs w:val="16"/>
          <w:color w:val="auto"/>
        </w:rPr>
        <w:t>Our ordinary shares are divided into Class A ordinary shares and Class B ordinary shares. Holders of our Class A ordinary shares and Class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 ordinary shares will have the same rights except for voting and conversion rights. Our ordinary shares are issued in registered form and are issued when registered in our register of shareholders. We may not issue shares to bearer. Our shareholders who are nonresidents of the Cayman Islands may freely hold and vote their shares.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Conversion. </w:t>
      </w:r>
      <w:r>
        <w:rPr>
          <w:rFonts w:ascii="Times New Roman" w:cs="Times New Roman" w:eastAsia="Times New Roman" w:hAnsi="Times New Roman"/>
          <w:sz w:val="17"/>
          <w:szCs w:val="17"/>
          <w:color w:val="auto"/>
        </w:rPr>
        <w:t>Each Class B ordinary share is convertible into one Class A ordinary share at any time by the holder thereof. Class A ordinary shares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into Class B ordinary shares under any circumstances. Upon any sale, transfer, assignment or disposition of any Class B ordinary share by Mr. Xiaoping Chen or Viomi Limited to any person who is not Mr. Xiaoping Chen or his affiliate(s), or upon a change of ultimate beneficial ownership of any Class B ordinary share to any person who is not Mr. Xiaoping Chen or his affiliate(s), such Class B ordinary share shall be automatically and immediately converted into one Class A ordinary share. Upon any sale, transfer, assignment or disposition of any Class B ordinary share by a shareholder other than Mr. Xiaoping Chen or his affiliate(s) to any person, such Class B ordinary share shall be automatically and immediately converted into one Class A ordinary share.</w:t>
      </w:r>
    </w:p>
    <w:p>
      <w:pPr>
        <w:spacing w:after="0" w:line="17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The holders of our ordinary shares are entitled to such dividends as may be declared by our board of directors. In addition, our shareholders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declare dividends by ordinary resolution, but no dividend shall exceed the amount recommended by our directors. Our memorandum and articles of association provide that dividends may be declared and paid out of our profits, realized or unrealized, or from any reserve set aside from funds legally available for distribution.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72"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In respect of all matters subject to a shareholders’ vote, each holder of Class A ordinary shares is entitled to one vote per share and each 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Class B ordinary shares is entitled to ten votes per share on all matters subject to vote at our general meetings. Our Class A ordinary shares and Class B ordinary shares vote together as a single class on all matters submitted to a vote of our shareholders, except as may otherwise be required by law. Voting at any shareholders’ meeting is by show of hands unless a poll is demanded (before or on the declaration of the result on a show of hands). A poll may be demanded by the chairman of such meeting or any shareholder present in person or by proxy.</w:t>
      </w:r>
    </w:p>
    <w:p>
      <w:pPr>
        <w:spacing w:after="0" w:line="172"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General Meetings of Shareholders. </w:t>
      </w:r>
      <w:r>
        <w:rPr>
          <w:rFonts w:ascii="Times New Roman" w:cs="Times New Roman" w:eastAsia="Times New Roman" w:hAnsi="Times New Roman"/>
          <w:sz w:val="17"/>
          <w:szCs w:val="17"/>
          <w:color w:val="auto"/>
        </w:rPr>
        <w:t>As a Cayman Islands exempted company, we are not obliged by the Companies Act of the Cayman Islands to call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Shareholders’ general meetings may be convened by the chairman of our board of directors or a majority of our board of directors (acting by a resolution of the board of directors). Advance notice of at least seven calendar days is required for the convening of our annual general shareholders’ meeting (if any) and any other general meeting of our shareholders. A quorum required for any general meeting of shareholders consists of one or more shareholders present in person or by proxy, representing not less than one-third of all votes attaching to all of our shares in issue and entitled to vote.</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Companies Act of the Cayman Islands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72"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Transfer of Ordinary shares. </w:t>
      </w:r>
      <w:r>
        <w:rPr>
          <w:rFonts w:ascii="Times New Roman" w:cs="Times New Roman" w:eastAsia="Times New Roman" w:hAnsi="Times New Roman"/>
          <w:sz w:val="17"/>
          <w:szCs w:val="17"/>
          <w:color w:val="auto"/>
        </w:rPr>
        <w:t>Subject to the restrictions set out in our memorandum and articles of association as set out below, any of our shareholders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all or any of his or her ordinary shares by an instrument of transfer in the usual or common form or any other form approved by our board of directors.</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59" w:lineRule="exact"/>
        <w:rPr>
          <w:sz w:val="20"/>
          <w:szCs w:val="20"/>
          <w:color w:val="auto"/>
        </w:rPr>
      </w:pPr>
    </w:p>
    <w:p>
      <w:pPr>
        <w:ind w:left="900" w:hanging="294"/>
        <w:spacing w:after="0" w:line="274"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ordinary shares;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number of joint holders to whom the ordinary share is to be transferred does not exceed four; and a fee of such maximum sum as Nasdaq may determine to be payable or such lesser sum as our directors may from time to time require is paid to us in respect thereof.</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our directors refuse to register a transfer they shall, within three months after the date on which the instrument of transfer was lodged, send to each of the transferor and the transferee notice of such refusal.</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65"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Liquidation. </w:t>
      </w:r>
      <w:r>
        <w:rPr>
          <w:rFonts w:ascii="Times New Roman" w:cs="Times New Roman" w:eastAsia="Times New Roman" w:hAnsi="Times New Roman"/>
          <w:sz w:val="17"/>
          <w:szCs w:val="17"/>
          <w:color w:val="auto"/>
        </w:rPr>
        <w:t>On the winding up of our company, if the assets available for distribution amongst our shareholders shall be more than sufficient to repay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Calls on Shares and Forfeiture of Shares. </w:t>
      </w:r>
      <w:r>
        <w:rPr>
          <w:rFonts w:ascii="Times New Roman" w:cs="Times New Roman" w:eastAsia="Times New Roman" w:hAnsi="Times New Roman"/>
          <w:sz w:val="17"/>
          <w:szCs w:val="17"/>
          <w:color w:val="auto"/>
        </w:rPr>
        <w:t>Our board of directors may from time to time make calls upon shareholders for any amounts unpaid on their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 notice served to such shareholders at least 14 calendar days prior to the specified time of payment. The shares that have been called upon and remain unpaid are subject to forfeiture.</w:t>
      </w:r>
    </w:p>
    <w:p>
      <w:pPr>
        <w:spacing w:after="0" w:line="164"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Redemption, Repurchase and Surrender of Shares. </w:t>
      </w:r>
      <w:r>
        <w:rPr>
          <w:rFonts w:ascii="Times New Roman" w:cs="Times New Roman" w:eastAsia="Times New Roman" w:hAnsi="Times New Roman"/>
          <w:sz w:val="17"/>
          <w:szCs w:val="17"/>
          <w:color w:val="auto"/>
        </w:rPr>
        <w:t>We may issue shares on terms that such shares are subject to redemption, at our option or at the option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holders of these shares, on such terms and in such manner as may be determined, before the issue of such shares, by our board of directors or by shareholders by special resolutions. Our Company may also repurchase any of our shares on such terms and in such manner as have been approved by our board of directors or by an ordinary resolution of our shareholders. Under the Companies Act of the Cayman Islands,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of the Cayman Islands,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7"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Variation of Rights of Shares. </w:t>
      </w:r>
      <w:r>
        <w:rPr>
          <w:rFonts w:ascii="Times New Roman" w:cs="Times New Roman" w:eastAsia="Times New Roman" w:hAnsi="Times New Roman"/>
          <w:sz w:val="16"/>
          <w:szCs w:val="16"/>
          <w:color w:val="auto"/>
        </w:rPr>
        <w:t>If at any time our share capital is divided into different classes of shares, the rights attached to any such class of shares (unless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otherwise provided by the terms of issue of the shares of that class), may be materially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with preferred or other rights shall not, unless otherwise expressly provided by the terms of issue of the shares of that class, be deemed to be materially adversely varied by the creation or issue of further shares ranking pari passu with or subsequent to such existing class of shares or the redemption or purchase of any shares of any class by our company. In addition,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Issuance of Additional Shares</w:t>
      </w:r>
      <w:r>
        <w:rPr>
          <w:rFonts w:ascii="Times New Roman" w:cs="Times New Roman" w:eastAsia="Times New Roman" w:hAnsi="Times New Roman"/>
          <w:sz w:val="17"/>
          <w:szCs w:val="17"/>
          <w:color w:val="auto"/>
        </w:rPr>
        <w:t>. Our memorandum and articles of association authorizes our board of directors to issue additional ordinary shares from time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as our board of directors shall determine, to the extent of available authorized but unissued shares.</w:t>
      </w:r>
    </w:p>
    <w:p>
      <w:pPr>
        <w:spacing w:after="0" w:line="155"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Our memorandum and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59" w:lineRule="exact"/>
        <w:rPr>
          <w:sz w:val="20"/>
          <w:szCs w:val="20"/>
          <w:color w:val="auto"/>
        </w:rPr>
      </w:pPr>
    </w:p>
    <w:p>
      <w:pPr>
        <w:ind w:left="900" w:hanging="294"/>
        <w:spacing w:after="0"/>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series;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the series;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rights, dividend rates, conversion rights, voting rights; and the rights and terms of redemption and liquidation preferences.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of directors may issue preference shares without action by our shareholders to the extent authorized but unissued. Issuance of these shares may dilute the voting power of holders of ordinary shares.</w:t>
      </w:r>
    </w:p>
    <w:p>
      <w:pPr>
        <w:spacing w:after="0" w:line="15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Inspection of Books and Records</w:t>
      </w:r>
      <w:r>
        <w:rPr>
          <w:rFonts w:ascii="Times New Roman" w:cs="Times New Roman" w:eastAsia="Times New Roman" w:hAnsi="Times New Roman"/>
          <w:sz w:val="17"/>
          <w:szCs w:val="17"/>
          <w:color w:val="auto"/>
        </w:rPr>
        <w:t>. Holders of our ordinary shares will have no general right under Cayman Islands law to inspect or obtain copies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register of members or our corporate records (save for the memorandum and articles of association, our register of mortgages and charges and special resolutions passed by our shareholders). Under Cayman Islands law, the names of our current directors can be obtained from a search conducted at the Registrar of Companies. However, we will provide our shareholders with annual audited financial statements.</w:t>
      </w:r>
    </w:p>
    <w:p>
      <w:pPr>
        <w:spacing w:after="0" w:line="16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Anti-Takeover Provisions</w:t>
      </w:r>
      <w:r>
        <w:rPr>
          <w:rFonts w:ascii="Times New Roman" w:cs="Times New Roman" w:eastAsia="Times New Roman" w:hAnsi="Times New Roman"/>
          <w:sz w:val="17"/>
          <w:szCs w:val="17"/>
          <w:color w:val="auto"/>
        </w:rPr>
        <w:t>. Some provisions of our memorandum and articles of association may discourage, delay or prevent a change of control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management that shareholders may consider favorable, including provisions that:</w:t>
      </w:r>
    </w:p>
    <w:p>
      <w:pPr>
        <w:spacing w:after="0" w:line="155" w:lineRule="exact"/>
        <w:rPr>
          <w:sz w:val="20"/>
          <w:szCs w:val="20"/>
          <w:color w:val="auto"/>
        </w:rPr>
      </w:pPr>
    </w:p>
    <w:p>
      <w:pPr>
        <w:ind w:left="900" w:hanging="294"/>
        <w:spacing w:after="0" w:line="274" w:lineRule="auto"/>
        <w:tabs>
          <w:tab w:leader="none" w:pos="9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ability of shareholders to requisition and convene general meetings of shareholders.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5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Exempted Company. </w:t>
      </w:r>
      <w:r>
        <w:rPr>
          <w:rFonts w:ascii="Times New Roman" w:cs="Times New Roman" w:eastAsia="Times New Roman" w:hAnsi="Times New Roman"/>
          <w:sz w:val="17"/>
          <w:szCs w:val="17"/>
          <w:color w:val="auto"/>
        </w:rPr>
        <w:t>We are an exempted company with limited liability under the Companies Act of the Cayman Islands. The Companies Act of the Cayman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72" w:lineRule="exact"/>
        <w:rPr>
          <w:sz w:val="20"/>
          <w:szCs w:val="20"/>
          <w:color w:val="auto"/>
        </w:rPr>
      </w:pPr>
    </w:p>
    <w:p>
      <w:pPr>
        <w:ind w:left="900" w:hanging="29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file an annual return of its shareholders with the Registrar of Companies;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required to open its register of members for inspection;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hold an annual general meeting;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issue shares with no par value;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obtain an undertaking against the imposition of any future taxation (such undertakings are usually given for a period of up to 30 years);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by way of continuation in another jurisdiction and be deregistered in the Cayman Islands;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 limited duration company; and may register as a segregated portfolio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Limited liability</w:t>
      </w:r>
      <w:r>
        <w:rPr>
          <w:rFonts w:ascii="Times New Roman" w:cs="Times New Roman" w:eastAsia="Times New Roman" w:hAnsi="Times New Roman"/>
          <w:sz w:val="17"/>
          <w:szCs w:val="17"/>
          <w:color w:val="auto"/>
        </w:rPr>
        <w:t>”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64"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Board Practices</w:t>
      </w:r>
      <w:r>
        <w:rPr>
          <w:rFonts w:ascii="Times New Roman" w:cs="Times New Roman" w:eastAsia="Times New Roman" w:hAnsi="Times New Roman"/>
          <w:sz w:val="17"/>
          <w:szCs w:val="17"/>
          <w:color w:val="auto"/>
        </w:rPr>
        <w:t>. A director may vote with respect to any contract, proposed contract or arrangement in which he is materially interested provided (a)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 if his interest in such contract or arrangement is material, has declared the nature of his interest at the earliest meeting of the board at which it is practicable for him to do so, either specifically or by way of a general notice, (b) such director has not been disqualified by the chairman of the relevant board meeting, and (c) if such contract or arrangement is a transaction with a related party, such transaction has been approved by the audit committee in accordance with the Nasdaq rules.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171" w:lineRule="exact"/>
        <w:rPr>
          <w:sz w:val="20"/>
          <w:szCs w:val="20"/>
          <w:color w:val="auto"/>
        </w:rPr>
      </w:pPr>
    </w:p>
    <w:p>
      <w:pPr>
        <w:ind w:left="300" w:hanging="299"/>
        <w:spacing w:after="0"/>
        <w:tabs>
          <w:tab w:leader="none" w:pos="3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Material Contracts</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We have not entered into any material contracts other than in the ordinary course of business and other than those described in “</w:t>
      </w:r>
      <w:r>
        <w:rPr>
          <w:rFonts w:ascii="Times New Roman" w:cs="Times New Roman" w:eastAsia="Times New Roman" w:hAnsi="Times New Roman"/>
          <w:sz w:val="17"/>
          <w:szCs w:val="17"/>
          <w:i w:val="1"/>
          <w:iCs w:val="1"/>
          <w:color w:val="auto"/>
        </w:rPr>
        <w:t>Item 4. INFORMATION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Item 7. Major Shareholders and Related Party Transactions—B. Related Party Transactions</w:t>
      </w:r>
      <w:r>
        <w:rPr>
          <w:rFonts w:ascii="Times New Roman" w:cs="Times New Roman" w:eastAsia="Times New Roman" w:hAnsi="Times New Roman"/>
          <w:sz w:val="17"/>
          <w:szCs w:val="17"/>
          <w:color w:val="auto"/>
        </w:rPr>
        <w:t>,” in this “</w:t>
      </w:r>
      <w:r>
        <w:rPr>
          <w:rFonts w:ascii="Times New Roman" w:cs="Times New Roman" w:eastAsia="Times New Roman" w:hAnsi="Times New Roman"/>
          <w:sz w:val="17"/>
          <w:szCs w:val="17"/>
          <w:i w:val="1"/>
          <w:iCs w:val="1"/>
          <w:color w:val="auto"/>
        </w:rPr>
        <w:t>Item 10. Additional Information—C. Material Contracts</w:t>
      </w:r>
      <w:r>
        <w:rPr>
          <w:rFonts w:ascii="Times New Roman" w:cs="Times New Roman" w:eastAsia="Times New Roman" w:hAnsi="Times New Roman"/>
          <w:sz w:val="17"/>
          <w:szCs w:val="17"/>
          <w:color w:val="auto"/>
        </w:rPr>
        <w:t>” or elsewhere in this annual report on Form 20-F.</w:t>
      </w:r>
    </w:p>
    <w:p>
      <w:pPr>
        <w:spacing w:after="0" w:line="164" w:lineRule="exact"/>
        <w:rPr>
          <w:sz w:val="20"/>
          <w:szCs w:val="20"/>
          <w:color w:val="auto"/>
        </w:rPr>
      </w:pPr>
    </w:p>
    <w:p>
      <w:pPr>
        <w:ind w:left="300" w:hanging="299"/>
        <w:spacing w:after="0"/>
        <w:tabs>
          <w:tab w:leader="none" w:pos="30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Exchange Controls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“Item 4. Information on the Company—B. Business Overview—Regulations—Regulations on Foreign Exchange.”</w:t>
      </w:r>
    </w:p>
    <w:p>
      <w:pPr>
        <w:spacing w:after="0" w:line="204" w:lineRule="exact"/>
        <w:rPr>
          <w:sz w:val="20"/>
          <w:szCs w:val="20"/>
          <w:color w:val="auto"/>
        </w:rPr>
      </w:pPr>
    </w:p>
    <w:p>
      <w:pPr>
        <w:ind w:left="300" w:hanging="299"/>
        <w:spacing w:after="0"/>
        <w:tabs>
          <w:tab w:leader="none" w:pos="30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Taxation</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summary of the material Cayman Islands, PRC and U.S. federal income tax considerations of an investment in our ADSs or ordinary shares is based upon laws and relevant interpretations thereof in effect as of the date of this annual report, all of which are subject to change. This summary does not deal with all possible tax considerations relating to an investment in our ADSs or ordinary shares, such as the tax considerations under U.S. state and local tax laws or under the tax laws of jurisdictions other than the Cayman Islands, the People’s Republic of China and the United States.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Taxation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the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corporate tax.</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People’s Republic of China Taxation</w:t>
      </w:r>
    </w:p>
    <w:p>
      <w:pPr>
        <w:spacing w:after="0" w:line="212" w:lineRule="exact"/>
        <w:rPr>
          <w:sz w:val="20"/>
          <w:szCs w:val="20"/>
          <w:color w:val="auto"/>
        </w:rPr>
      </w:pPr>
    </w:p>
    <w:p>
      <w:pPr>
        <w:jc w:val="both"/>
        <w:ind w:firstLine="605"/>
        <w:spacing w:after="0" w:line="265"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and substantial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where senior management personnel and departments that are responsible for the day-to-day operational management is in the PRC; (ii) decisions relating to the enterprise’s financial and human resource matters are made or are subject to approval by organizations or personnel in the PRC;</w:t>
      </w:r>
    </w:p>
    <w:p>
      <w:pPr>
        <w:ind w:left="300" w:hanging="299"/>
        <w:spacing w:after="0"/>
        <w:tabs>
          <w:tab w:leader="none" w:pos="3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enterprise’s primary assets, accounting books and records, company seals, and board and shareholder resolutions, are located or maintained in the PRC; and</w:t>
      </w:r>
    </w:p>
    <w:p>
      <w:pPr>
        <w:spacing w:after="0" w:line="6" w:lineRule="exact"/>
        <w:rPr>
          <w:rFonts w:ascii="Times New Roman" w:cs="Times New Roman" w:eastAsia="Times New Roman" w:hAnsi="Times New Roman"/>
          <w:sz w:val="17"/>
          <w:szCs w:val="17"/>
          <w:color w:val="auto"/>
        </w:rPr>
      </w:pPr>
    </w:p>
    <w:p>
      <w:pPr>
        <w:ind w:left="280" w:hanging="279"/>
        <w:spacing w:after="0"/>
        <w:tabs>
          <w:tab w:leader="none" w:pos="2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voting board members or senior executives habitually reside in the PRC.</w:t>
      </w:r>
    </w:p>
    <w:p>
      <w:pPr>
        <w:spacing w:after="0" w:line="19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believe that Viomi Technology Co., Ltd is not a PRC resident enterprise for PRC tax purposes. Viomi Technology Co., Ltd is not controlled by a PRC enterprise or PRC enterprise group and we do not believe that Viomi Technology Co., Ltd meets all of the conditions above. Viomi Technology Co., Ltd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the PRC tax authorities determine that Viomi Technology Co., Ltd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Viomi Technology Co., Ltd would be able to claim the benefits of any tax treaties between their country of tax residence and the PRC in the event that Viomi Technology Co., Ltd is treated as a PRC resident enterprise.</w:t>
      </w:r>
    </w:p>
    <w:p>
      <w:pPr>
        <w:spacing w:after="0" w:line="180"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Provided that our Cayman Islands holding company, Viomi Technology Co., Ltd, is not deemed to be a PRC resident enterprise, holders of our ADSs and ordinary shares who are not PRC residents will not be subject to PRC income tax on dividends distributed by us or gains realized from the sale or other disposition of our shares or ADSs. However, under Public Notice Regarding Certain Corporate Income Tax Matters on Indirect Transfer of Properties by Non-Tax Resident Enterprises, or SAT Public Notice 7, and Public Notice of the State Administration of Taxation on Issues Concerning the Withholding of Non-resident Enterprise Income Tax at Source, or SAT Public Notice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these notices, and we may be required to expend valuable resources to comply with these notices, or to establish that we should not be taxed under these circulars. See “</w:t>
      </w:r>
      <w:r>
        <w:rPr>
          <w:rFonts w:ascii="Times New Roman" w:cs="Times New Roman" w:eastAsia="Times New Roman" w:hAnsi="Times New Roman"/>
          <w:sz w:val="17"/>
          <w:szCs w:val="17"/>
          <w:i w:val="1"/>
          <w:iCs w:val="1"/>
          <w:color w:val="auto"/>
        </w:rPr>
        <w:t>Item 3. Key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Information—D. Risk Factors—Risks Related to Doing Business in China—We face uncertainty with respect to indirect transfers of equity interests in PRC resident enterprises by their non-PRC holding companies</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following is a summary of U.S. federal income tax considerations generally applicable to the ownership and disposition of our ADSs or ordinary shares. Unless otherwise noted, this summary addresses only U.S. Holders (as defined below) that hold our ADSs or ordinary shares as “capital assets” for U.S. federal income tax purposes (generally, property held for investment). This summary is based on the U.S. Internal Revenue Code of 1986, as amended (the “Code”), U.S. Treasury regulations promulgated thereunder, judicial decisions, administrative pronouncements, the income tax treaty between the United States and China (the “Treaty”) and other relevant authorities, all as in effect as of the date hereof and all of which are subject to change and differing interpretations, possibly with retroactive effect.</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summary does not address U.S. federal estate, gift or other non-income tax considerations, the alternative minimum tax, the Medicare tax on certain net investment income, or any state, local or non-U.S. tax considerations, relating to the ownership or disposition of our ADSs or ordinary shares, nor does it address all aspects of U.S. federal income taxation that may be relevant to a particular U.S. Holder in light of that U.S. Holder’s particular circumstances or that may be relevant to certain types of U.S. Holders subject to special treatment under U.S. federal income tax law, such as:</w:t>
      </w:r>
    </w:p>
    <w:p>
      <w:pPr>
        <w:spacing w:after="0" w:line="175" w:lineRule="exact"/>
        <w:rPr>
          <w:sz w:val="20"/>
          <w:szCs w:val="20"/>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and other financial institutions;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plans;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cooperatives;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that elect to use a mark-to-market method of accounting;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U.S. citizens or long-term residents;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 (including private foundations);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 their ADSs or ordinary shares pursuant to any employee share option or otherwise as compensation;</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will hold their ADSs or ordinary shares as part of a straddle, hedge, conversion, constructive sale or other integrated transaction for U.S. federal income tax purposes;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have a functional currency other than the U.S. dollar; or persons that actually or constructively own 10% or more of our stock (by vote or value).</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Prospective investors should consult their tax advisors with respect to the U.S. federal, state, local, non-U.S. income and other tax considerations relevant to the ownership and disposition of our ADSs or ordinary shares in light of their particular circumstances.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08" w:lineRule="exact"/>
        <w:rPr>
          <w:sz w:val="20"/>
          <w:szCs w:val="20"/>
          <w:color w:val="auto"/>
        </w:rPr>
      </w:pPr>
    </w:p>
    <w:p>
      <w:pPr>
        <w:ind w:firstLine="605"/>
        <w:spacing w:after="0" w:line="279" w:lineRule="auto"/>
        <w:rPr>
          <w:sz w:val="20"/>
          <w:szCs w:val="20"/>
          <w:color w:val="auto"/>
        </w:rPr>
      </w:pPr>
      <w:r>
        <w:rPr>
          <w:rFonts w:ascii="Times New Roman" w:cs="Times New Roman" w:eastAsia="Times New Roman" w:hAnsi="Times New Roman"/>
          <w:sz w:val="17"/>
          <w:szCs w:val="17"/>
          <w:color w:val="auto"/>
        </w:rPr>
        <w:t>For purposes of this discussion, a “</w:t>
      </w:r>
      <w:r>
        <w:rPr>
          <w:rFonts w:ascii="Times New Roman" w:cs="Times New Roman" w:eastAsia="Times New Roman" w:hAnsi="Times New Roman"/>
          <w:sz w:val="17"/>
          <w:szCs w:val="17"/>
          <w:b w:val="1"/>
          <w:bCs w:val="1"/>
          <w:color w:val="auto"/>
        </w:rPr>
        <w:t>U.S. Holder</w:t>
      </w:r>
      <w:r>
        <w:rPr>
          <w:rFonts w:ascii="Times New Roman" w:cs="Times New Roman" w:eastAsia="Times New Roman" w:hAnsi="Times New Roman"/>
          <w:sz w:val="17"/>
          <w:szCs w:val="17"/>
          <w:color w:val="auto"/>
        </w:rPr>
        <w:t>” is a beneficial owner (as determined for U.S. federal income tax purposes) of our ADSs or ordinary shares that is, for U.S. federal income tax purposes:</w:t>
      </w:r>
    </w:p>
    <w:p>
      <w:pPr>
        <w:spacing w:after="0" w:line="155" w:lineRule="exact"/>
        <w:rPr>
          <w:sz w:val="20"/>
          <w:szCs w:val="20"/>
          <w:color w:val="auto"/>
        </w:rPr>
      </w:pPr>
    </w:p>
    <w:p>
      <w:pPr>
        <w:ind w:left="900" w:hanging="294"/>
        <w:spacing w:after="0"/>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citizen or individual resident of the United States;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or organized in or under the law of the United States, any state thereof or the District of Columbia;</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includible in gross income for U.S. federal income tax purposes regardless of its source; or</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 that is subject to the primary supervision of a court within the United States and the control of one or more United States persons for all substantial decisions or (ii) that has in effect a valid election to be treated as a United States person under the applicable U.S. Treasury regulations.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U.S. federal income tax purposes) is a beneficial owner of our ADSs or ordinary shares, the U.S. federal income tax treatment of a partner in the partnership will generally depend upon the status of the partner and the activities of the partnership. Partnerships holding our ADSs or ordinary shares and their partners should consult their tax advisors regarding the partnership’s investment in our ADSs or ordinary shares.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discussion below assumes that the representations contained in the deposit agreement are true and that the obligations in the deposit agreement and any related agreement have been and will be complied with in accordance with their terms. If a U.S. Holder holds ADSs, such holder should be treated as the holder of the underlying common shares represented by those ADSs for U.S. federal income tax purposes.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Considerations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 non-U.S. corporation, such as our company, will be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(the “asset test”). Passive income generally includes dividends, interest, rents, royalties, annuities, net gains from the sale or exchange of property producing such income and net foreign currency gains. Passive assets are those that give rise to passive income and include assets held for investment, as well as cash, assets readily convertible into cash, and (subject to certain exceptions) working capital. Our company’s goodwill and other unbooked intangibles are taken into account and may be classified as active or passive depending on the income such assets generate or are held to generate. We will be treated as owning a proportionate share of the assets and earning a proportionate share of the income of any other corporation in which we own, directly, indirectly or constructively, at least 25% (by value) of its stock.</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Although the law in this regard is not entirely clear, we treat each of our consolidated VIEs as being owned by us for U.S. federal income tax purposes because we control their management decisions and are entitled to substantially all of the economic benefits associated with them, and, as a result, we consolidate their results of operations in our consolidated U.S. GAAP financial statements. If it were determined, however, that we are not the owner of the consolidated VIEs for U.S. federal income tax purposes, the risk that we are a PFIC would likely increase for the current taxable year and any subsequent taxable year.</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Assuming that we are the owner of the VIEs for U.S. federal income tax purposes, and based on an analysis of our income and assets and the market value of our ADSs, we believe that we likely are a PFIC for the taxable year ended December 31, 2025. Because PFIC status is a factual determination made annually that will depend, in part, on the composition of our income and assets, it is not possible to determine our PFIC status for the current taxable year or future taxable years until after the close of the taxable year. The value of our assets for purposes of the asset test, including the value of our goodwill and unbooked intangibles, may be determined in part by reference to the market price of our ADSs from time to time (which may be volatile). As a result, our PFIC status for the current taxable year and future taxable years may be affected by our market capitalization. Recent fluctuations in our market capitalization create a material risk that we may be a PFIC for the current taxable year and future taxable years. In addition, the composition of our income and our assets will be affected by how, and how quickly, we spend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may substantially increase.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Because there are uncertainties in the application of these rules, it is possible that the Internal Revenue Service may challenge our classification of certain income or assets as non-passive, or our valuation of our goodwill and other unbooked intangibles, each of which could cause us to be a PFIC for the current or subsequent taxable years. If we are a PFIC for any taxable year during which a U.S. Holder holds our ADSs or ordinary shares, the PFIC rules discussed below under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will generally apply to such U.S. Holder for such taxable year, and unless the U.S. Holder makes certain elections, will apply in future taxable years even if we cease to be a PFIC.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Subject to the PFIC rules discussed below, the gross amounts of any distributions received by a U.S. Holder on our ADSs or ordinary shares (including any amounts withheld in respect of PRC withholding taxes) will generally be subject to tax as dividends to the extent paid out of our current or accumulated earnings and profits, as determined under U.S. federal income tax principles, and will generally be includible in the gross income of a U.S. Holder as dividend income on the day actually or constructively received by the U.S. Holder (in the case of ordinary shares) or by the depositary (in the case of ADSs). Such dividends will not be eligible for the dividends received deduction generally allowed to U.S. corporations under the Code. Distributions in excess of our current and accumulated earnings and profits will be treated as a non-taxable return of capital to the extent of the U.S. Holder’s adjusted tax basis in our ADSs and ordinary shares and thereafter generally as capital gain. Because we do not intend to determine our earnings and profits for U.S. federal income tax purposes, the full amount of any distribution we pay will generally be treated as a dividend for U.S. federal income tax purposes.</w:t>
      </w:r>
    </w:p>
    <w:p>
      <w:pPr>
        <w:spacing w:after="0" w:line="18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Individuals and other non-corporate U.S. Holders may be subject to tax on any such dividends at the lower capital gains tax rate applicable to “qualified dividend income,” provided that certain conditions are satisfied, including that (1) the ADSs and/or ordinary shares are readily tradable on an established securities market in the United States, or, in the event that we are deemed to be a PRC resident enterprise under the PRC tax law, we are eligible for the benefits of the Treaty, (2) we are neither a PFIC nor treated as such with respect to a U.S. Holder (as discussed below) for the taxable year in which the dividend is paid and the preceding taxable year, and (3) certain holding period requirements are met. Our ADSs, but not our ordinary shares, are listed on the Nasdaq Stock Market, so we anticipate that our ADSs should qualify as readily tradable on an established securities market in the United States, although there can be no assurances in this regard. As discussed above, we likely are a PFIC for our taxable year ended December 31, 2025, and we may be a PFIC for our current taxable year. U.S. Holders should consult their tax advisors regarding the availability of the lower rate for any dividends paid with respect to our ADSs or ordinary shares.</w:t>
      </w:r>
    </w:p>
    <w:p>
      <w:pPr>
        <w:spacing w:after="0" w:line="18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For U.S. foreign tax credit purposes, dividends received on our ADSs or ordinary shares will generally be treated as income from foreign sources and will generally constitute passive category income. As described in “</w:t>
      </w:r>
      <w:r>
        <w:rPr>
          <w:rFonts w:ascii="Times New Roman" w:cs="Times New Roman" w:eastAsia="Times New Roman" w:hAnsi="Times New Roman"/>
          <w:sz w:val="17"/>
          <w:szCs w:val="17"/>
          <w:i w:val="1"/>
          <w:iCs w:val="1"/>
          <w:color w:val="auto"/>
        </w:rPr>
        <w:t>—People’s Republic of China Taxation</w:t>
      </w:r>
      <w:r>
        <w:rPr>
          <w:rFonts w:ascii="Times New Roman" w:cs="Times New Roman" w:eastAsia="Times New Roman" w:hAnsi="Times New Roman"/>
          <w:sz w:val="17"/>
          <w:szCs w:val="17"/>
          <w:color w:val="auto"/>
        </w:rPr>
        <w:t>,” if we are deemed to be a PRC resident enterprise for PRC tax purposes, a U.S. Holder may be subject to PRC withholding taxes on such dividends. Subject to certain conditions and limitations, a U.S. Holder may be eligible to claim a foreign tax credit not in excess of any applicable treaty rate in respect of any foreign withholding taxes. Alternatively, a U.S. Holder may elect to deduct such taxes in computing its taxable income for U.S. federal income tax purposes, subject to certain conditions and limitations. A U.S. Holder’s election to deduct foreign taxes instead of claiming foreign tax credits applies to all creditable foreign income taxes paid or accrued in the relevant taxable year. The rules regarding foreign tax credits and the deductibility of foreign taxes are complex. All U.S. Holders, whether or not they are eligible to claim benefits under the Treaty, should consult their tax advisors regarding the availability of foreign tax credits and the deductibility of foreign taxes in light of their particular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or Other Disposition of ADSs or Ordinary Shares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Subject to the PFIC rules discussed below, a U.S. Holder will generally recognize gain or loss on the sale or other disposition of ADSs or ordinary shares in an amount equal to the difference between the amount realized on the disposition and the U.S. Holder’s adjusted tax basis in such ADSs or ordinary shares. Any such gain or loss will generally be long-term capital gain or loss if the U.S. Holder’s holding period in the ADSs or ordinary shares exceeds one year at the time of disposition. Long-term capital gains of individuals and certain other non-corporate U.S. Holders are generally eligible for a reduced rate of taxation. The deductibility of capital losses may be subject to limitations.</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Any gain or loss recognized by a U.S. Holder on the sale or other disposition of ADSs or ordinary shares will generally be treated as U.S. source income or loss for U.S. foreign tax credit purposes. If, however, gains from the sale or other disposition of our ADSs or ordinary shares are subject to tax in the PRC as described in “</w:t>
      </w:r>
      <w:r>
        <w:rPr>
          <w:rFonts w:ascii="Times New Roman" w:cs="Times New Roman" w:eastAsia="Times New Roman" w:hAnsi="Times New Roman"/>
          <w:sz w:val="17"/>
          <w:szCs w:val="17"/>
          <w:i w:val="1"/>
          <w:iCs w:val="1"/>
          <w:color w:val="auto"/>
        </w:rPr>
        <w:t>—People’s Republic of China Taxation</w:t>
      </w:r>
      <w:r>
        <w:rPr>
          <w:rFonts w:ascii="Times New Roman" w:cs="Times New Roman" w:eastAsia="Times New Roman" w:hAnsi="Times New Roman"/>
          <w:sz w:val="17"/>
          <w:szCs w:val="17"/>
          <w:color w:val="auto"/>
        </w:rPr>
        <w:t>,” a U.S. Holder eligible for benefits of the Treaty may be eligible to treat such gains as PRC-source gains for U.S. foreign tax credit purposes. A U.S. Holder may instead elect to deduct such taxes in computing its taxable income for U.S. federal income tax purposes, but only for a year in which such U.S. holder elects to do so for all foreign taxes paid or accrued during such year. The rules regarding foreign tax credits and the deductibility of foreign taxes are complex. U.S. Holders should consult their tax advisors regarding the availability of a foreign tax credit or a deduction in lieu thereof in light of their particular circumstances, as well as with respect to their eligibility for benefits under the Treaty.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holds our ADSs or ordinary shares, and unless the U.S. Holder makes a mark-to-market election (as described below), the U.S. Holder will be subject to special tax rules with respect to any “excess distribution” the U.S. Holder receives on our ADSs or ordinary shares and any gain the U.S. Holder recognizes on the sale or other disposition including, under certain circumstances, a pledge, of our ADSs or ordinary shares.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Distributions received by a U.S. Holder on our ADSs or ordinary shares in a taxable year that are greater than 125% of the average annual distributions the U.S. Holder received in the three preceding taxable years or, if shorter, such U.S. Holder’s holding period for the ADSs or ordinary shares will be treated as excess distributions. Under the PFIC rules:</w:t>
      </w:r>
    </w:p>
    <w:p>
      <w:pPr>
        <w:spacing w:after="0" w:line="169" w:lineRule="exact"/>
        <w:rPr>
          <w:sz w:val="20"/>
          <w:szCs w:val="20"/>
          <w:color w:val="auto"/>
        </w:rPr>
      </w:pPr>
    </w:p>
    <w:p>
      <w:pPr>
        <w:ind w:left="900" w:hanging="294"/>
        <w:spacing w:after="0"/>
        <w:tabs>
          <w:tab w:leader="none" w:pos="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distribution or gain will be allocated ratably over the U.S. Holder’s holding period for the ADSs or ordinary shares;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to any taxable years in the U.S. Holder’s holding period prior to the first taxable year in which we are a PFIC (each, a “</w:t>
      </w:r>
      <w:r>
        <w:rPr>
          <w:rFonts w:ascii="Times New Roman" w:cs="Times New Roman" w:eastAsia="Times New Roman" w:hAnsi="Times New Roman"/>
          <w:sz w:val="17"/>
          <w:szCs w:val="17"/>
          <w:b w:val="1"/>
          <w:bCs w:val="1"/>
          <w:color w:val="auto"/>
        </w:rPr>
        <w:t>pre-PFIC year</w:t>
      </w:r>
      <w:r>
        <w:rPr>
          <w:rFonts w:ascii="Times New Roman" w:cs="Times New Roman" w:eastAsia="Times New Roman" w:hAnsi="Times New Roman"/>
          <w:sz w:val="17"/>
          <w:szCs w:val="17"/>
          <w:color w:val="auto"/>
        </w:rPr>
        <w:t>”), will be subject to tax as ordinary income; and</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prior taxable year, other than the current taxable year or a pre-PFIC year, will be subject to tax at the highest tax rate in effect applicable to the U.S. Holder for that year, and such amounts will be increased by an additional tax equal to the interest at the underpayment rate on the resulting tax deemed deferred with respect to each such taxable year.</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we are a PFIC for any taxable year during which a U.S. Holder holds our ADSs or ordinary shares and any of our non-U.S. subsidiaries, our VIEs or any of the non-U.S. subsidiaries of our VIEs are also PFICs, such U.S. Holder will be treated as owning a proportionate amount (by value) of the shares of each such lower-tier PFIC for purposes of the application of these rules.</w:t>
      </w:r>
    </w:p>
    <w:p>
      <w:pPr>
        <w:spacing w:after="0" w:line="16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 U.S. Holder of “marketable stock” (as defined below) in a PFIC may elect out of the excess distribution regime by making a mark-to-market election with respect to such stock. If a U.S. Holder makes a valid mark-to-market election with respect to our ADSs, the U.S. Holder will include in income each year that we are a PFIC an amount equal to the excess, if any, of the fair market value of the ADSs held at the end of the taxable year over the adjusted tax basis of such ADSs. The U.S. Holder is allowed a deduction for the excess, if any, of the adjusted tax basis of the ADSs over the fair market value of such ADSs held at the end of the taxable year. Any such deductions are allowable only to the extent of any net mark-to-market gains on the ADSs included in the U.S. Holder’s income for prior taxable years. Amounts included in the U.S. Holder’s income under a mark-to-market election, as well as any gain on the sale or disposition of ADSs, will be treated as ordinary income. Ordinary loss treatment also applies to the deductible portion of any mark-to-market loss on the ADSs, as well as any loss realized on the actual sale or other disposition of the ADSs, to the extent that the amount of such loss does not exceed the net mark-to-market gains previously included in income with respect to such ADSs. The U.S. Holder’s adjusted tax basis in the ADSs will be adjusted to reflect any such income or loss amounts. If a U.S. Holder makes a mark-to-market election, then, in any taxable year for which we are a PFIC, tax rules that apply to distributions by corporations that are not PFICs would apply to distributions by us (except that the lower applicable capital gains rate for qualified dividend income would not apply). If a U.S. Holder makes a valid mark-to-market election and we subsequently cease to be a PFIC, the U.S. Holder will not be required to take into account the mark-to-market income or loss described above during any period for which we are not a PFIC.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The mark-to-market election is available only for “marketable stock,” which is stock that is traded in other than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quantities on at least 15 days during each calendar quarter on a qualified exchange or other market, as defined in the applicable U.S. Treasury regulations. The ADSs, but not our ordinary shares, are listed on the Nasdaq Stock Market, which is a qualified exchange for these purposes, and consequently, assuming that the ADSs are traded in other than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quantities on at least 15 days during each calendar quarter, it is expected that the mark-to-market election would be available to U.S. Holders of ADSs if we are or become a PFIC. However, a mark-to-market election may not be available with respect to our ordinary shares as they are not marketable stock. Accordingly, if we are a PFIC during any taxable year in which a U.S. Holder holds our ordinary shares, such holder will generally be subject to the excess distribution regime discussed above.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because, as a technical matter,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do not intend to provide the information necessary for U.S. Holders to make qualified electing fund elections which, if available, would result in tax treatment different from the general tax treatment for PFICs described above.</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U.S. Holders that own our ADSs or ordinary shares during any taxable year for which we are a PFIC will generally be required to make an annual filing with the Internal Revenue Service regarding their ownership of such shares. U.S. Holders should consult their tax advisors concerning the U.S. federal income tax consequences relevant to the ownership and disposition of our ADSs or ordinary shares if we were, are, or become a PFIC, including the possibility of making a mark-to-market election and the annual PFIC filing requirements, if any.</w:t>
      </w:r>
    </w:p>
    <w:p>
      <w:pPr>
        <w:spacing w:after="0" w:line="171"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color w:val="auto"/>
        </w:rPr>
        <w:t>THE PRECEDING SUMMARY OF U.S. FEDERAL INCOME TAX CONSIDERATIONS IS INTENDED FOR GENERAL INFORMATION ONLY AND DOES NOT CONSTITUTE TAX ADVICE. U.S. HOLDERS SHOULD CONSULT THEIR TAX ADVISORS AS TO THE U.S. FEDERAL, STATE, LOCAL, AND NON-U.S. TAX CONSIDERATIONS GENERALLY APPLICABLE TO THE OWNERSHIP AND DISPOSITION OF OUR ADSs AND ORDINARY SHARES IN LIGHT OF THEIR PARTICULAR CIRCUMSTANCES.</w:t>
      </w:r>
    </w:p>
    <w:p>
      <w:pPr>
        <w:spacing w:after="0" w:line="168" w:lineRule="exact"/>
        <w:rPr>
          <w:sz w:val="20"/>
          <w:szCs w:val="20"/>
          <w:color w:val="auto"/>
        </w:rPr>
      </w:pPr>
    </w:p>
    <w:p>
      <w:pPr>
        <w:ind w:left="600" w:right="8840" w:hanging="599"/>
        <w:spacing w:after="0" w:line="495" w:lineRule="auto"/>
        <w:tabs>
          <w:tab w:leader="none" w:pos="297"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Dividends and Paying Agents </w:t>
      </w:r>
      <w:r>
        <w:rPr>
          <w:rFonts w:ascii="Times New Roman" w:cs="Times New Roman" w:eastAsia="Times New Roman" w:hAnsi="Times New Roman"/>
          <w:sz w:val="17"/>
          <w:szCs w:val="17"/>
          <w:color w:val="auto"/>
        </w:rPr>
        <w:t>Not applicable.</w:t>
      </w:r>
    </w:p>
    <w:p>
      <w:pPr>
        <w:ind w:left="300" w:hanging="299"/>
        <w:spacing w:after="0"/>
        <w:tabs>
          <w:tab w:leader="none" w:pos="3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Statement by Experts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ind w:left="300" w:hanging="299"/>
        <w:spacing w:after="0"/>
        <w:tabs>
          <w:tab w:leader="none" w:pos="3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Documents on Display</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we file with the SEC can be obtained over the internet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As a foreign private issuer, we are exempt from the rules of the Exchange Act prescribing the furnishing and content of proxy statements to shareholders, our officers and directors are exempt from the short-swing profit recovery provisions contained in Section 16 of the Exchange Act, and our principal shareholders are exempt from the reporting and short-swing profit recovery provisions contained in Section 16 of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2" w:lineRule="exact"/>
        <w:rPr>
          <w:sz w:val="20"/>
          <w:szCs w:val="20"/>
          <w:color w:val="auto"/>
        </w:rPr>
      </w:pPr>
    </w:p>
    <w:p>
      <w:pPr>
        <w:ind w:left="600" w:right="9240" w:hanging="599"/>
        <w:spacing w:after="0" w:line="526" w:lineRule="auto"/>
        <w:tabs>
          <w:tab w:leader="none" w:pos="297"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Subsidiary Information </w:t>
      </w:r>
      <w:r>
        <w:rPr>
          <w:rFonts w:ascii="Times New Roman" w:cs="Times New Roman" w:eastAsia="Times New Roman" w:hAnsi="Times New Roman"/>
          <w:sz w:val="16"/>
          <w:szCs w:val="16"/>
          <w:color w:val="auto"/>
        </w:rPr>
        <w:t>Not applicable.</w:t>
      </w:r>
    </w:p>
    <w:p>
      <w:pPr>
        <w:ind w:left="600" w:right="8420" w:hanging="599"/>
        <w:spacing w:after="0" w:line="495" w:lineRule="auto"/>
        <w:tabs>
          <w:tab w:leader="none" w:pos="297"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Annual Report to Security Holders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Substantially all of our revenues and expenses are denominated in RMB.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ADSs will be affected by the exchange rate between U.S. dollar and Renminbi because the value of our business is effectively denominated in RMB, while our ADSs will be traded in U.S. dollars.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exposure to interest rate risk primarily relates to the interest income generated by excess cash, which is mostly held in interest-bearing bank deposits. Interest-earning instruments carry a degree of interest rate risk. We have not been exposed to material risks due to changes in interest rates, and we have not used any derivative financial instruments to manage our interest risk exposure. However, our future interest income may fall short of expectations due to changes in market interest rates.</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DESCRIPTION OF SECURITIES OTHER THAN EQUITY SECURITIES</w:t>
      </w:r>
    </w:p>
    <w:p>
      <w:pPr>
        <w:spacing w:after="0" w:line="208" w:lineRule="exact"/>
        <w:rPr>
          <w:sz w:val="20"/>
          <w:szCs w:val="20"/>
          <w:color w:val="auto"/>
        </w:rPr>
      </w:pPr>
    </w:p>
    <w:p>
      <w:pPr>
        <w:ind w:left="600" w:right="9600" w:hanging="599"/>
        <w:spacing w:after="0" w:line="495" w:lineRule="auto"/>
        <w:tabs>
          <w:tab w:leader="none" w:pos="297"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Debt Securities </w:t>
      </w:r>
      <w:r>
        <w:rPr>
          <w:rFonts w:ascii="Times New Roman" w:cs="Times New Roman" w:eastAsia="Times New Roman" w:hAnsi="Times New Roman"/>
          <w:sz w:val="17"/>
          <w:szCs w:val="17"/>
          <w:color w:val="auto"/>
        </w:rPr>
        <w:t>Not applicable.</w:t>
      </w:r>
    </w:p>
    <w:p>
      <w:pPr>
        <w:ind w:left="600" w:right="9420" w:hanging="599"/>
        <w:spacing w:after="0" w:line="528" w:lineRule="auto"/>
        <w:tabs>
          <w:tab w:leader="none" w:pos="297"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Warrants and Rights </w:t>
      </w:r>
      <w:r>
        <w:rPr>
          <w:rFonts w:ascii="Times New Roman" w:cs="Times New Roman" w:eastAsia="Times New Roman" w:hAnsi="Times New Roman"/>
          <w:sz w:val="16"/>
          <w:szCs w:val="16"/>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ind w:left="600" w:right="9600" w:hanging="599"/>
        <w:spacing w:after="0" w:line="495" w:lineRule="auto"/>
        <w:tabs>
          <w:tab w:leader="none" w:pos="297"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Other Securities </w:t>
      </w:r>
      <w:r>
        <w:rPr>
          <w:rFonts w:ascii="Times New Roman" w:cs="Times New Roman" w:eastAsia="Times New Roman" w:hAnsi="Times New Roman"/>
          <w:sz w:val="17"/>
          <w:szCs w:val="17"/>
          <w:color w:val="auto"/>
        </w:rPr>
        <w:t>Not applicable.</w:t>
      </w:r>
    </w:p>
    <w:p>
      <w:pPr>
        <w:ind w:left="300" w:hanging="299"/>
        <w:spacing w:after="0"/>
        <w:tabs>
          <w:tab w:leader="none" w:pos="30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American Depositary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Charges Our ADS Holders May Have to Pay</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Our ADS holders will be required to pay the following service fees to the depositary bank and certain taxes and governmental charges (in addition to any applicable fees, expenses, taxes and other governmental charges payable on the deposited securities represented by any of the ADSs held):</w:t>
      </w:r>
    </w:p>
    <w:p>
      <w:pPr>
        <w:sectPr>
          <w:pgSz w:w="11900" w:h="16838" w:orient="portrait"/>
          <w:cols w:equalWidth="0" w:num="1">
            <w:col w:w="11240"/>
          </w:cols>
          <w:pgMar w:left="320" w:top="224" w:right="339" w:bottom="1440" w:gutter="0" w:footer="0" w:header="0"/>
        </w:sectPr>
      </w:pP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Service</w:t>
      </w:r>
    </w:p>
    <w:p>
      <w:pPr>
        <w:spacing w:after="0" w:line="26" w:lineRule="exact"/>
        <w:rPr>
          <w:sz w:val="20"/>
          <w:szCs w:val="20"/>
          <w:color w:val="auto"/>
        </w:rPr>
      </w:pPr>
    </w:p>
    <w:p>
      <w:pPr>
        <w:jc w:val="both"/>
        <w:ind w:left="340" w:hanging="339"/>
        <w:spacing w:after="0" w:line="268" w:lineRule="auto"/>
        <w:tabs>
          <w:tab w:leader="none" w:pos="3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p>
      <w:pPr>
        <w:spacing w:after="0" w:line="1" w:lineRule="exact"/>
        <w:rPr>
          <w:rFonts w:ascii="Times New Roman" w:cs="Times New Roman" w:eastAsia="Times New Roman" w:hAnsi="Times New Roman"/>
          <w:sz w:val="16"/>
          <w:szCs w:val="16"/>
          <w:color w:val="auto"/>
        </w:rPr>
      </w:pPr>
    </w:p>
    <w:p>
      <w:pPr>
        <w:ind w:left="340" w:hanging="339"/>
        <w:spacing w:after="0"/>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ADSs, including the case of termination of the deposit agreement</w:t>
      </w:r>
    </w:p>
    <w:p>
      <w:pPr>
        <w:spacing w:after="0" w:line="6"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of cash dividends</w:t>
      </w:r>
    </w:p>
    <w:p>
      <w:pPr>
        <w:spacing w:after="0" w:line="6" w:lineRule="exact"/>
        <w:rPr>
          <w:rFonts w:ascii="Times New Roman" w:cs="Times New Roman" w:eastAsia="Times New Roman" w:hAnsi="Times New Roman"/>
          <w:sz w:val="17"/>
          <w:szCs w:val="17"/>
          <w:color w:val="auto"/>
        </w:rPr>
      </w:pPr>
    </w:p>
    <w:p>
      <w:pPr>
        <w:ind w:left="340" w:hanging="339"/>
        <w:spacing w:after="0" w:line="247" w:lineRule="auto"/>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of cash entitlements (other than cash dividends) and/or cash proceeds from the sale of rights, securities and other entitlements</w:t>
      </w:r>
    </w:p>
    <w:p>
      <w:pPr>
        <w:spacing w:after="0" w:line="1"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of ADSs pursuant to exercise of rights.</w:t>
      </w:r>
    </w:p>
    <w:p>
      <w:pPr>
        <w:spacing w:after="0" w:line="6"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of securities other than ADSs or rights to purchase additional ADSs</w:t>
      </w:r>
    </w:p>
    <w:p>
      <w:pPr>
        <w:spacing w:after="0" w:line="6"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Depositary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-1283970</wp:posOffset>
            </wp:positionV>
            <wp:extent cx="39306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30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Fees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US$0.05 per ADS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28498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US$0.05 per ADS cancelled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US$0.05 per ADS held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US$0.05 per ADS held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US$0.05 per ADS held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US$0.05 per ADS held</w:t>
      </w:r>
    </w:p>
    <w:p>
      <w:pPr>
        <w:spacing w:after="0" w:line="6"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7"/>
          <w:szCs w:val="17"/>
          <w:color w:val="auto"/>
        </w:rPr>
        <w:t>Up to US$0.05 per ADS held on the applicable record date(s) established by the depositary bank</w:t>
      </w:r>
    </w:p>
    <w:p>
      <w:pPr>
        <w:spacing w:after="0" w:line="174" w:lineRule="exact"/>
        <w:rPr>
          <w:sz w:val="20"/>
          <w:szCs w:val="20"/>
          <w:color w:val="auto"/>
        </w:rPr>
      </w:pPr>
    </w:p>
    <w:p>
      <w:pPr>
        <w:sectPr>
          <w:pgSz w:w="11900" w:h="16838" w:orient="portrait"/>
          <w:cols w:equalWidth="0" w:num="2">
            <w:col w:w="6520" w:space="240"/>
            <w:col w:w="4480"/>
          </w:cols>
          <w:pgMar w:left="320" w:top="224" w:right="339" w:bottom="1440" w:gutter="0" w:footer="0" w:header="0"/>
          <w:type w:val="continuous"/>
        </w:sect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Our ADS holders will also be responsible to pay certain fees and expenses incurred by the depositary bank and certain taxes and governmental charges (in addition to any applicable fees, expenses, taxes and other governmental charges payable on the deposited securities represented by any of the ADSs held) such as:</w:t>
      </w:r>
    </w:p>
    <w:p>
      <w:pPr>
        <w:spacing w:after="0" w:line="159" w:lineRule="exact"/>
        <w:rPr>
          <w:sz w:val="20"/>
          <w:szCs w:val="20"/>
          <w:color w:val="auto"/>
        </w:rPr>
      </w:pPr>
    </w:p>
    <w:p>
      <w:pPr>
        <w:ind w:left="900" w:hanging="294"/>
        <w:spacing w:after="0" w:line="274"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for converting foreign currency into U.S. dollars.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for cable, telex and fax transmissions and for delivery of securities.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and duties upon the transfer of securities, including any applicable stamp duties, any stock transfer charges or withholding taxes (i.e., when Class A ordinary shares are deposited or withdrawn from deposit).</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in connection with the delivery or servicing of Class A ordinary shares on deposit.</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in connection with complying with exchange control regulations and other regulatory requirements applicable to Class A ordinary shares, deposited securities, ADSs and American depositary receipts that evidence ADSs.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fees and penalties thereon.</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and Other Payments Made by the Depositary to Us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depositary may make payments to us or reimburse us for certain costs and expenses, by making available a portion of the ADS fees collected in respect of the program of American depositary receipts that evidence the ADSs or otherwise, upon such terms and conditions as we and the depositary bank agree from time to time. For the year ended December 31, 2025, we didn’t received any reimbursement from the depositary.</w:t>
      </w:r>
    </w:p>
    <w:p>
      <w:pPr>
        <w:spacing w:after="0" w:line="1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DEFAULTS, DIVIDEND ARREARAGES AND DELINQUENCIES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MATERIAL MODIFICATIONS TO THE RIGHTS OF SECURITY HOLDERS AND USE OF PROCEEDS</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Item 10. Additional Information—B. Memorandum and Articles of Association</w:t>
      </w:r>
      <w:r>
        <w:rPr>
          <w:rFonts w:ascii="Times New Roman" w:cs="Times New Roman" w:eastAsia="Times New Roman" w:hAnsi="Times New Roman"/>
          <w:sz w:val="17"/>
          <w:szCs w:val="17"/>
          <w:color w:val="auto"/>
        </w:rPr>
        <w:t>” for a description of the rights of securities holders, which remain unchanged.</w:t>
      </w:r>
    </w:p>
    <w:p>
      <w:pPr>
        <w:spacing w:after="0" w:line="15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who is also our principal financial officer, we carried out an evaluation of the effectiveness of our disclosure controls and procedures (as defined in Rule 13a-15(e) of the Exchange Act) as of the end of the period covered by this report, as required by Rule 13a-15(b) under the Exchange Act. Based upon that evaluation, our management, with the participation of our chief executive officer, has concluded that, as of December 31, 2025,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management evaluated the effectiveness of our internal control over financial reporting as of December 31, 2025 based on the framework in Internal Control—Integrated Framework (2013) issued by the Committee of Sponsoring Organizations of the Treadway Commission. Based on this evaluation, our management has identified the following material weaknesses. Our management thus concluded that our internal control over financial reporting was not effective as of December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The material weaknesses were identified related to (i) our lack of sufficient resources regarding financial reporting and accounting personnel with understanding of U.S. GAAP, in particular, to address complex U.S. GAAP technical accounting issues, related disclosures in accordance with U.S. GAAP and financial reporting requirements set forth by the SEC, and (ii) lack of comprehensive U.S. GAAP accounting policies and financial reporting procedures. These material weaknesses were first identified during the audit of our company’s consolidated financial statements for the years ended December 31, 2016, 2017 and 2018.</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remedy identified material weaknesses in internal control over financial reporting, we are in the process of implementing several measures, including:</w:t>
      </w:r>
    </w:p>
    <w:p>
      <w:pPr>
        <w:spacing w:after="0" w:line="208" w:lineRule="exact"/>
        <w:rPr>
          <w:sz w:val="20"/>
          <w:szCs w:val="20"/>
          <w:color w:val="auto"/>
        </w:rPr>
      </w:pPr>
    </w:p>
    <w:p>
      <w:pPr>
        <w:ind w:left="900" w:hanging="294"/>
        <w:spacing w:after="0" w:line="274" w:lineRule="auto"/>
        <w:tabs>
          <w:tab w:leader="none" w:pos="9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additional competent and qualified accounting and reporting personnel with appropriate knowledge and experience of U.S. GAAP and SEC financial reporting requirements;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 ongoing program to provide sufficient and additional appropriate training to our accounting staff, especially trainings related to U.S. GAAP and SEC financial reporting requirements;</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 internal control and compliance department and hiring additional compliance staff and perform internal audit and evaluation of internal controls from time to time;</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U.S. GAAP accounting manual to provide accounting team with more comprehensive guidelines on the accounting policies under U.S. GAAP, SEC rules and relevant requirements; and</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clear roles and responsibilities for accounting and financial reporting staff to address accounting and financial reporting issues; and enhancing our company’s monitoring controls over financial reporting, including additional review our company’s head of finance, and other senior financial staff over the application of U.S. GAAP accounting requirements, the selection and evaluation of U.S. GAAP accounting policies, critical accounting judgments and estimates, reporting and disclosures;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We are fully committed to continuing to implement measures to remediate our material weaknesses in our internal control over financial reporting. However, the implementation of these measures may not fully address the deficiencies in our internal control over financial reporting. We are not able to estimate with reasonable certainty the costs that we will need to incur in implementing these and other measures designed to improve our internal control over financial reporting. See “</w:t>
      </w:r>
      <w:r>
        <w:rPr>
          <w:rFonts w:ascii="Times New Roman" w:cs="Times New Roman" w:eastAsia="Times New Roman" w:hAnsi="Times New Roman"/>
          <w:sz w:val="17"/>
          <w:szCs w:val="17"/>
          <w:i w:val="1"/>
          <w:iCs w:val="1"/>
          <w:color w:val="auto"/>
        </w:rPr>
        <w:t>Item 3. Key Information—D. Risk Factors—Risks Related to Our Business and Industry—In connection with the audit of our consolidated financial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included in this annual report, we identified material weaknesses in our internal control over financial reporting. If we fail to develop and maintain an effective system of internal control over financial reporting, we may be unable to accurately report our financial results or prevent fraud</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This annual report on Form 20-F does not include an attestation report of our independent registered public accounting firm on internal control over financial reporting because we qualified as a “non-accelerated filer” as of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2023, we implemented a number of remedial measures to address the material weaknesses with respect to input VAT calculation and financial statements review, including (i) the hire of additional competent and qualified tax personnel with appropriate knowledge and work experience of taxation; (ii) the enhancement and improvement of the internal controls in relation to preparation and checking of calculation and supporting schedules for input VAT; and (iii) the enhancement and improvement of the internal controls in relation to financial statements review by improving the precision level of the review.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December 31, 2024, based on an assessment performed by our management on the effectiveness of the remediation measures mentioned above, we concluded that the aforementioned material weaknesses related to (i) operating deficiency in the controls relating to the preparation and checking of the input VAT calculation and (ii) lack of effective financial statements review so as to detect material misstatements in our company’s consolidated financial statements in our internal control over financial reporting previously identified as of December 31, 2023 were remediated.</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16A. AUDIT COMMITTEE FINANCIAL EXPERT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of directors has determined that Ms. Jinling Zhang, a member of our audit committee and independent director (under the standards set forth in Rule 5605(c)(2) of the Listing Rules of the Nasdaq and Rule 10A-3 under the Exchange Act of 1934), is an audit committee financial expert.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16B. CODE OF ETHICS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of directors adopted a code of business conduct and ethics that applies to our directors, officers and employees in August, 2018. We have posted a copy of our code of business conduct and ethics on our website at ir.viomi.com.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16C. PRINCIPAL ACCOUNTANT FEES AND SERVICES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WWC, P.C., our current independent registered public accounting firm and PricewaterhouseCoopers ZhongTian LLP, our former independent registered public accounting firm, for the periods indicated. We did not pay any other fees to our auditors during the periods indicated below.</w:t>
      </w:r>
    </w:p>
    <w:p>
      <w:pPr>
        <w:spacing w:after="0" w:line="165"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7"/>
          <w:szCs w:val="17"/>
          <w:b w:val="1"/>
          <w:bCs w:val="1"/>
          <w:color w:val="auto"/>
        </w:rPr>
        <w:t>For the Year Ended</w:t>
      </w:r>
    </w:p>
    <w:p>
      <w:pPr>
        <w:spacing w:after="0" w:line="26"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100" w:type="dxa"/>
            <w:vAlign w:val="bottom"/>
          </w:tcPr>
          <w:p>
            <w:pPr>
              <w:spacing w:after="0"/>
              <w:rPr>
                <w:sz w:val="18"/>
                <w:szCs w:val="18"/>
                <w:color w:val="auto"/>
              </w:rPr>
            </w:pPr>
          </w:p>
        </w:tc>
      </w:tr>
      <w:tr>
        <w:trPr>
          <w:trHeight w:val="194"/>
        </w:trPr>
        <w:tc>
          <w:tcPr>
            <w:tcW w:w="7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7"/>
              </w:rPr>
              <w:t>(in thousands of RMB)</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846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b w:val="1"/>
                <w:bCs w:val="1"/>
                <w:color w:val="auto"/>
              </w:rPr>
              <w:t>Audit fees</w:t>
            </w:r>
            <w:r>
              <w:rPr>
                <w:rFonts w:ascii="Times New Roman" w:cs="Times New Roman" w:eastAsia="Times New Roman" w:hAnsi="Times New Roman"/>
                <w:sz w:val="27"/>
                <w:szCs w:val="27"/>
                <w:b w:val="1"/>
                <w:bCs w:val="1"/>
                <w:color w:val="auto"/>
                <w:vertAlign w:val="superscript"/>
              </w:rPr>
              <w:t>(1)</w:t>
            </w:r>
          </w:p>
        </w:tc>
        <w:tc>
          <w:tcPr>
            <w:tcW w:w="16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rPr>
              <w:t>8,207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2,797</w:t>
            </w:r>
          </w:p>
        </w:tc>
      </w:tr>
      <w:tr>
        <w:trPr>
          <w:trHeight w:val="222"/>
        </w:trPr>
        <w:tc>
          <w:tcPr>
            <w:tcW w:w="8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60" w:type="dxa"/>
            <w:vAlign w:val="bottom"/>
          </w:tcPr>
          <w:p>
            <w:pPr>
              <w:jc w:val="right"/>
              <w:ind w:right="916"/>
              <w:spacing w:after="0"/>
              <w:rPr>
                <w:sz w:val="20"/>
                <w:szCs w:val="20"/>
                <w:color w:val="auto"/>
              </w:rPr>
            </w:pPr>
            <w:r>
              <w:rPr>
                <w:rFonts w:ascii="Times New Roman" w:cs="Times New Roman" w:eastAsia="Times New Roman" w:hAnsi="Times New Roman"/>
                <w:sz w:val="17"/>
                <w:szCs w:val="17"/>
                <w:b w:val="1"/>
                <w:bCs w:val="1"/>
                <w:color w:val="auto"/>
              </w:rPr>
              <w:t>8,207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2,797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24980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70" w:lineRule="exact"/>
        <w:rPr>
          <w:sz w:val="20"/>
          <w:szCs w:val="20"/>
          <w:color w:val="auto"/>
        </w:rPr>
      </w:pPr>
    </w:p>
    <w:p>
      <w:pPr>
        <w:ind w:left="300" w:hanging="299"/>
        <w:spacing w:after="0" w:line="274" w:lineRule="auto"/>
        <w:tabs>
          <w:tab w:leader="none" w:pos="3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means the aggregate fees billed for professional services rendered by our principal auditors for the audit of our annual consolidated financial statements and the review of our comparative interim financial statements.</w:t>
      </w:r>
    </w:p>
    <w:p>
      <w:pPr>
        <w:spacing w:after="0" w:line="155" w:lineRule="exact"/>
        <w:rPr>
          <w:sz w:val="20"/>
          <w:szCs w:val="20"/>
          <w:color w:val="auto"/>
        </w:rPr>
      </w:pPr>
    </w:p>
    <w:p>
      <w:pPr>
        <w:ind w:firstLine="605"/>
        <w:spacing w:after="0" w:line="279" w:lineRule="auto"/>
        <w:rPr>
          <w:sz w:val="20"/>
          <w:szCs w:val="20"/>
          <w:color w:val="auto"/>
        </w:rPr>
      </w:pPr>
      <w:r>
        <w:rPr>
          <w:rFonts w:ascii="Times New Roman" w:cs="Times New Roman" w:eastAsia="Times New Roman" w:hAnsi="Times New Roman"/>
          <w:sz w:val="17"/>
          <w:szCs w:val="17"/>
          <w:color w:val="auto"/>
        </w:rPr>
        <w:t xml:space="preserve">The policy of our audit committee is to pre-approve all audit and other service provided by WWC, P.C. as described above, other than those for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services which are approved by the Audit Committee prior to the completion of the audit.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16D. EXEMPTIONS FROM THE LISTING STANDARDS FOR AUDIT COMMITTEES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On March 26, 2020, our board of directors approved a share repurchase plan whereby we were authorized to repurchase up to US$10 million worth of our company’s Class A ordinary shares in the form of ADS. The share repurchase plan was publicly announced on March 26, 2020 and ended on March 25, 2021.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October 14, 2021, our board of directors approved a share repurchase plan whereby we were authorized to repurchase up to US$10 million worth of our company’s Class A ordinary share in the form of ADS over the twelve-month period ended October 13, 2022. The share repurchase plan was publicly announced on October 14, 2021 and ended on October 13, 2022.</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October 25, 2022, our board of directors approved a share repurchase plan whereby we were authorized to repurchase up to US$10 million worth of our company’s Class A ordinary share in the form of ADS over the twelve-month period ended October 24, 2023. The share repurchase plan was publicly announced on October 25, 2022.</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October 18, 2023, our board of directors approved an extension of our existing share repurchase plan for another 12 months, with no increase in the authorized amount. The extension of the share repurchase plan was publicly announced on October 23, 2023 and the program will end on October 24, 2024.</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October 23, 2024, our board of directors approved an extension of our existing share repurchase plan for another 12 months, with no increase in the authorized amount. The extension of the share repurchase plan was publicly announced on October 23, 2024 and the program will end on October 24, 2025.</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October 24, 2025, our board of directors approved a new share repurchase plan whereby we were authorized to repurchase up to US$20 million worth of our company’s Class A ordinary shares in the form of ADS, ending on December 31, 2027.</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we have repurchased approximately 1.02 million ADSs for a total of US$2.5 million under this new share repurchase plan.</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sets forth a summary of our repurchase of the ADSs under the share repurchase plans described in the paragraph above between January 1, 2025 and February 28, 2026. All shares were repurchased in the open market pursuant to the share repurchase plans.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Approximate</w:t>
            </w:r>
          </w:p>
        </w:tc>
      </w:tr>
      <w:tr>
        <w:trPr>
          <w:trHeight w:val="202"/>
        </w:trPr>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of ADSs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Dollar value</w:t>
            </w:r>
          </w:p>
        </w:tc>
      </w:tr>
      <w:tr>
        <w:trPr>
          <w:trHeight w:val="202"/>
        </w:trPr>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Purchased as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of ADSs that</w:t>
            </w:r>
          </w:p>
        </w:tc>
      </w:tr>
      <w:tr>
        <w:trPr>
          <w:trHeight w:val="202"/>
        </w:trPr>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Part of the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May Yet Be</w:t>
            </w:r>
          </w:p>
        </w:tc>
      </w:tr>
      <w:tr>
        <w:trPr>
          <w:trHeight w:val="202"/>
        </w:trPr>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5"/>
              </w:rPr>
              <w:t>Price</w:t>
            </w: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Publicly</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Purchased</w:t>
            </w:r>
          </w:p>
        </w:tc>
      </w:tr>
      <w:tr>
        <w:trPr>
          <w:trHeight w:val="202"/>
        </w:trPr>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of ADSs</w:t>
            </w: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6"/>
              </w:rPr>
              <w:t>Paid per</w:t>
            </w: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Announced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Under</w:t>
            </w:r>
          </w:p>
        </w:tc>
      </w:tr>
      <w:tr>
        <w:trPr>
          <w:trHeight w:val="222"/>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Purchased</w:t>
            </w: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ADS</w:t>
            </w: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5"/>
              </w:rPr>
              <w:t>Plans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the Plans</w:t>
            </w:r>
          </w:p>
        </w:tc>
      </w:tr>
      <w:tr>
        <w:trPr>
          <w:trHeight w:val="195"/>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2025</w:t>
            </w: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456,035</w:t>
            </w:r>
          </w:p>
        </w:tc>
        <w:tc>
          <w:tcPr>
            <w:tcW w:w="4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2.5367</w:t>
            </w:r>
          </w:p>
        </w:tc>
        <w:tc>
          <w:tcPr>
            <w:tcW w:w="4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456,035</w:t>
            </w:r>
          </w:p>
        </w:tc>
        <w:tc>
          <w:tcPr>
            <w:tcW w:w="4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18,843,168</w:t>
            </w:r>
          </w:p>
        </w:tc>
        <w:tc>
          <w:tcPr>
            <w:tcW w:w="100" w:type="dxa"/>
            <w:vAlign w:val="bottom"/>
            <w:tcBorders>
              <w:top w:val="single" w:sz="8" w:color="CCEEFF"/>
            </w:tcBorders>
            <w:shd w:val="clear" w:color="auto" w:fill="CCEEFF"/>
          </w:tcPr>
          <w:p>
            <w:pPr>
              <w:spacing w:after="0"/>
              <w:rPr>
                <w:sz w:val="16"/>
                <w:szCs w:val="16"/>
                <w:color w:val="auto"/>
              </w:rPr>
            </w:pPr>
          </w:p>
        </w:tc>
      </w:tr>
      <w:tr>
        <w:trPr>
          <w:trHeight w:val="218"/>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2025</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569,719</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2.3496</w:t>
            </w:r>
          </w:p>
        </w:tc>
        <w:tc>
          <w:tcPr>
            <w:tcW w:w="17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569,719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17,504,578</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  CHANGE IN REGISTRANT’S CERTIFYING ACCOUNTANT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disclosure required by this Item 16F has previously been disclosed in Item 16F of our annual report on Form 20-F for the year ended December 31, 2024, filed on September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16G. CORPORATE GOVERNANCE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a Cayman Islands exempted company listed on the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under Cayman Islands law, we are not required to (i) have a majority of independent directors in our board of directors, or (ii) obtain shareholders’ approval prior to a plan or other equity compensation arrangement is established or materially amended as provided in Nasdaq Listing Rule 5635(c). As a result, our shareholders may be afforded less protection than they would otherwise enjoy under the Nasdaq Stock Market corporate governance listing standards applicable to U.S. domestic issuers.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See “Item 3. Key Information—D. Risk Factors—Risks Related to the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16H. MINE SAFETY DISCLOSURE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16I.</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16J.  INSIDER TRADING POLICIES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Amended and Restated Statement of Policies Governing Non-public Information and the Prevention of Insider Trading is filed as Exhibit 11.2 to this annual report on Form 20-F.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16K. CYBERSECURITY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have developed a comprehensive cybersecurity threat defense system to address both internal and external cyber threats. This comprehensive system spans multiple security domains, including network, host and application layers. It integrates a range of security capabilities, such as threat defense, continuous monitoring, in-depth analysis, rapid response, as well as strategic deception and countermeasures. Our approach to managing cybersecurity risks and safeguarding sensitive data is multi-faceted, involving technological safeguards, procedural protocols, a rigorous program of surveillance on our corporate network, continuous testing of aspects of our security posture internally and with third-party business partners, such as third-party network partners and third-party e-commerce platforms, a solid incident response framework and regular cybersecurity training sessions for our employees. Our IT department is actively engaged in monitoring of the performance of our infrastructure to ensure prompt identification and response to potential issues, including potential cybersecurity threats. Our internal control department also performs regular self-assessments and produces annual assessment reports.</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corporate governance and nominating committee of our board of directors is responsible for overseeing our cybersecurity risk management and is informed on risks from cybersecurity threats. Our board of directors/The corporate governance and nominating committee shall review, approve and maintain oversight of the disclosure (i) on Form 6-K for material cybersecurity incidents (if any) and (ii) related to cybersecurity matters in the periodic reports (including annual report on Form 20-F) of our Company.</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the management level, our chief executive officer and cybersecurity officer, or the Cybersecurity Risk Management Officers, are responsible for assessing, identifying and managing material risks from cybersecurity threats to our company and monitoring the prevention, detection, mitigation and remediation of material cybersecurity incidents. Our Cybersecurity Risk Management Officers report to our corporate governance and nominating committee (i) on a quarterly basis regarding their assessment, identification and management on material risks from cybersecurity threats happened in the ordinary course of our business operations and (ii) on disclosure concerning cybersecurity matters in our Form 6-K for material cybersecurity incidents (if any) and our annual report on Form 20-F.</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If a cybersecurity incident occurs, our Cybersecurity Risk Management Officers will promptly organize relevant personnel for internal assessment and, depending on the situation, seek the opinions of external experts and legal advisors. If it is determined that the incident could potentially be a material cybersecurity event, our Cybersecurity Risk Management Officers will promptly report the incident and relevant assessment results to our corporate governance and nominating committee and our corporate governance and nominating committee will decide on the relevant response measures and whether any disclosure is necessary. If such disclosure is determined to be necessary, our Cybersecurity Risk Management Officers shall promptly prepare disclosure material for review and approval by our corporate governance and nominating committee before it is disseminated to the public.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18.</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consolidated financial statements of Viomi Technology Co., Ltd and its subsidiaries and VIEs are included at the end of this annual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19.</w:t>
            </w:r>
          </w:p>
        </w:tc>
        <w:tc>
          <w:tcPr>
            <w:tcW w:w="10460" w:type="dxa"/>
            <w:vAlign w:val="bottom"/>
            <w:gridSpan w:val="33"/>
          </w:tcPr>
          <w:p>
            <w:pPr>
              <w:ind w:left="10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383"/>
        </w:trPr>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60" w:type="dxa"/>
            <w:vAlign w:val="bottom"/>
            <w:gridSpan w:val="21"/>
          </w:tcPr>
          <w:p>
            <w:pPr>
              <w:ind w:left="240"/>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20" w:type="dxa"/>
            <w:vAlign w:val="bottom"/>
            <w:tcBorders>
              <w:top w:val="single" w:sz="8" w:color="auto"/>
              <w:bottom w:val="single" w:sz="8" w:color="0000EE"/>
            </w:tcBorders>
            <w:gridSpan w:val="30"/>
          </w:tcPr>
          <w:p>
            <w:pPr>
              <w:spacing w:after="0" w:line="157" w:lineRule="exact"/>
              <w:rPr>
                <w:rFonts w:ascii="Times New Roman" w:cs="Times New Roman" w:eastAsia="Times New Roman" w:hAnsi="Times New Roman"/>
                <w:sz w:val="17"/>
                <w:szCs w:val="17"/>
                <w:color w:val="0000EE"/>
              </w:rPr>
            </w:pPr>
            <w:hyperlink r:id="rId157">
              <w:r>
                <w:rPr>
                  <w:rFonts w:ascii="Times New Roman" w:cs="Times New Roman" w:eastAsia="Times New Roman" w:hAnsi="Times New Roman"/>
                  <w:sz w:val="17"/>
                  <w:szCs w:val="17"/>
                  <w:color w:val="0000EE"/>
                </w:rPr>
                <w:t>Second Amended and Restated Memorandum and Articles of Association of the Registrant, effective September 24, 2018 (incorporated herein by</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57">
              <w:r>
                <w:rPr>
                  <w:rFonts w:ascii="Times New Roman" w:cs="Times New Roman" w:eastAsia="Times New Roman" w:hAnsi="Times New Roman"/>
                  <w:sz w:val="17"/>
                  <w:szCs w:val="17"/>
                  <w:color w:val="0000EE"/>
                </w:rPr>
                <w:t>reference to Exhibit 3.2 to the Form F-1 filed on August 28, 2018 (File No. 333-227063))</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9"/>
              </w:rPr>
            </w:pPr>
            <w:hyperlink r:id="rId158">
              <w:r>
                <w:rPr>
                  <w:rFonts w:ascii="Times New Roman" w:cs="Times New Roman" w:eastAsia="Times New Roman" w:hAnsi="Times New Roman"/>
                  <w:sz w:val="17"/>
                  <w:szCs w:val="17"/>
                  <w:color w:val="0000EE"/>
                  <w:w w:val="99"/>
                </w:rPr>
                <w:t>Registrant’s Specimen American Depositary Receipt (included in Exhibit 4.3) (incorporated herein by reference to Exhibit 4.3 to the Form F-1/A filed</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on September 11, 2018 (File No. 333-227063))</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59">
              <w:r>
                <w:rPr>
                  <w:rFonts w:ascii="Times New Roman" w:cs="Times New Roman" w:eastAsia="Times New Roman" w:hAnsi="Times New Roman"/>
                  <w:sz w:val="17"/>
                  <w:szCs w:val="17"/>
                  <w:color w:val="0000EE"/>
                </w:rPr>
                <w:t>Registrant’s Specimen Certificate for Class A Ordinary Shares (incorporated herein by reference to Exhibit 4.2 to the Form F-1/A filed on September</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7"/>
              </w:rPr>
            </w:pPr>
            <w:hyperlink r:id="rId159">
              <w:r>
                <w:rPr>
                  <w:rFonts w:ascii="Times New Roman" w:cs="Times New Roman" w:eastAsia="Times New Roman" w:hAnsi="Times New Roman"/>
                  <w:sz w:val="17"/>
                  <w:szCs w:val="17"/>
                  <w:color w:val="0000EE"/>
                  <w:w w:val="97"/>
                </w:rPr>
                <w:t>11, 2018 (File No. 333-227063))</w:t>
              </w:r>
            </w:hyperlink>
          </w:p>
        </w:tc>
        <w:tc>
          <w:tcPr>
            <w:tcW w:w="80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30"/>
          </w:tcPr>
          <w:p>
            <w:pPr>
              <w:spacing w:after="0" w:line="182" w:lineRule="exact"/>
              <w:rPr>
                <w:rFonts w:ascii="Times New Roman" w:cs="Times New Roman" w:eastAsia="Times New Roman" w:hAnsi="Times New Roman"/>
                <w:sz w:val="17"/>
                <w:szCs w:val="17"/>
                <w:color w:val="0000EE"/>
              </w:rPr>
            </w:pPr>
            <w:hyperlink r:id="rId160">
              <w:r>
                <w:rPr>
                  <w:rFonts w:ascii="Times New Roman" w:cs="Times New Roman" w:eastAsia="Times New Roman" w:hAnsi="Times New Roman"/>
                  <w:sz w:val="17"/>
                  <w:szCs w:val="17"/>
                  <w:color w:val="0000EE"/>
                </w:rPr>
                <w:t>Deposit Agreement, among the Registrant, the depositary and holder of the American Depositary Receipts dated September 24, 2018 (incorporated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60">
              <w:r>
                <w:rPr>
                  <w:rFonts w:ascii="Times New Roman" w:cs="Times New Roman" w:eastAsia="Times New Roman" w:hAnsi="Times New Roman"/>
                  <w:sz w:val="17"/>
                  <w:szCs w:val="17"/>
                  <w:color w:val="0000EE"/>
                </w:rPr>
                <w:t>herein by reference to Exhibit 4.3 to the Form S-8 filed on March 22, 2019 (File No. 333-230431))</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61">
              <w:r>
                <w:rPr>
                  <w:rFonts w:ascii="Times New Roman" w:cs="Times New Roman" w:eastAsia="Times New Roman" w:hAnsi="Times New Roman"/>
                  <w:sz w:val="17"/>
                  <w:szCs w:val="17"/>
                  <w:color w:val="0000EE"/>
                </w:rPr>
                <w:t>Shareholders Agreement between the Registrant and other parties thereto dated April 29, 2015 (incorporated herein by reference to Exhibit 4.4 to the</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161">
              <w:r>
                <w:rPr>
                  <w:rFonts w:ascii="Times New Roman" w:cs="Times New Roman" w:eastAsia="Times New Roman" w:hAnsi="Times New Roman"/>
                  <w:sz w:val="17"/>
                  <w:szCs w:val="17"/>
                  <w:color w:val="0000EE"/>
                  <w:w w:val="98"/>
                </w:rPr>
                <w:t>Form F-1 filed on August 28, 2018 (File No. 333-227063))</w:t>
              </w:r>
            </w:hyperlink>
          </w:p>
        </w:tc>
        <w:tc>
          <w:tcPr>
            <w:tcW w:w="62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Description of Securities (incorporated herein by reference to Exhibit 2.5 to the Form 20-F filed on September 30, 2025 (File No. 001-38649))</w:t>
              </w:r>
            </w:hyperlink>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40" w:type="dxa"/>
            <w:vAlign w:val="bottom"/>
            <w:tcBorders>
              <w:top w:val="single" w:sz="8" w:color="0000EE"/>
              <w:bottom w:val="single" w:sz="8" w:color="0000EE"/>
            </w:tcBorders>
            <w:gridSpan w:val="25"/>
          </w:tcPr>
          <w:p>
            <w:pPr>
              <w:spacing w:after="0" w:line="182" w:lineRule="exact"/>
              <w:rPr>
                <w:rFonts w:ascii="Times New Roman" w:cs="Times New Roman" w:eastAsia="Times New Roman" w:hAnsi="Times New Roman"/>
                <w:sz w:val="17"/>
                <w:szCs w:val="17"/>
                <w:color w:val="0000EE"/>
                <w:w w:val="98"/>
              </w:rPr>
            </w:pPr>
            <w:hyperlink r:id="rId163">
              <w:r>
                <w:rPr>
                  <w:rFonts w:ascii="Times New Roman" w:cs="Times New Roman" w:eastAsia="Times New Roman" w:hAnsi="Times New Roman"/>
                  <w:sz w:val="17"/>
                  <w:szCs w:val="17"/>
                  <w:color w:val="0000EE"/>
                  <w:w w:val="98"/>
                </w:rPr>
                <w:t>2015 Share Incentive Plan (incorporated herein by reference to Exhibit 10.1 to the Form F-1 filed on August 28, 2018 (File No. 333-227063))</w:t>
              </w:r>
            </w:hyperlink>
          </w:p>
        </w:tc>
        <w:tc>
          <w:tcPr>
            <w:tcW w:w="40" w:type="dxa"/>
            <w:vAlign w:val="bottom"/>
            <w:tcBorders>
              <w:top w:val="single" w:sz="8" w:color="0000EE"/>
            </w:tcBorders>
          </w:tcPr>
          <w:p>
            <w:pPr>
              <w:spacing w:after="0"/>
              <w:rPr>
                <w:sz w:val="15"/>
                <w:szCs w:val="15"/>
                <w:color w:val="auto"/>
              </w:rPr>
            </w:pPr>
          </w:p>
        </w:tc>
        <w:tc>
          <w:tcPr>
            <w:tcW w:w="6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2018 Share Incentive Plan (incorporated herein by reference to Exhibit 4.2 to the Form 20-F filed on April 23, 2020 (File No. 001-38649))</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30"/>
          </w:tcPr>
          <w:p>
            <w:pPr>
              <w:spacing w:after="0" w:line="182"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Amendment No. 1 to 2015 Share Incentive Plan (incorporated herein by reference to Exhibit 4.3 to the Form 20-F filed on April 25, 2024 (File No.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84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6"/>
              </w:rPr>
            </w:pPr>
            <w:hyperlink r:id="rId165">
              <w:r>
                <w:rPr>
                  <w:rFonts w:ascii="Times New Roman" w:cs="Times New Roman" w:eastAsia="Times New Roman" w:hAnsi="Times New Roman"/>
                  <w:sz w:val="17"/>
                  <w:szCs w:val="17"/>
                  <w:color w:val="0000EE"/>
                  <w:w w:val="96"/>
                </w:rPr>
                <w:t>001-38649))</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30"/>
          </w:tcPr>
          <w:p>
            <w:pPr>
              <w:spacing w:after="0" w:line="182" w:lineRule="exact"/>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Amendment No. 1 to 2018 Share Incentive Plan (incorporated herein by reference to Exhibit 4.4 to the Form 20-F filed on April 25, 2024 (File No.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84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6"/>
              </w:rPr>
            </w:pPr>
            <w:hyperlink r:id="rId166">
              <w:r>
                <w:rPr>
                  <w:rFonts w:ascii="Times New Roman" w:cs="Times New Roman" w:eastAsia="Times New Roman" w:hAnsi="Times New Roman"/>
                  <w:sz w:val="17"/>
                  <w:szCs w:val="17"/>
                  <w:color w:val="0000EE"/>
                  <w:w w:val="96"/>
                </w:rPr>
                <w:t>001-38649))</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9"/>
              </w:rPr>
            </w:pPr>
            <w:hyperlink r:id="rId167">
              <w:r>
                <w:rPr>
                  <w:rFonts w:ascii="Times New Roman" w:cs="Times New Roman" w:eastAsia="Times New Roman" w:hAnsi="Times New Roman"/>
                  <w:sz w:val="17"/>
                  <w:szCs w:val="17"/>
                  <w:color w:val="0000EE"/>
                  <w:w w:val="99"/>
                </w:rPr>
                <w:t>Form of Indemnification Agreement between the Registrant and its directors and executive officers (incorporated herein by reference to Exhibit 10.3 to</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the Form F-1 filed on August 28, 2018 (File No. 333-227063))</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Form of Employment Agreement between the Registrant and its executive officers (incorporated herein by reference to Exhibit 10.4 to the Form F-1</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168">
              <w:r>
                <w:rPr>
                  <w:rFonts w:ascii="Times New Roman" w:cs="Times New Roman" w:eastAsia="Times New Roman" w:hAnsi="Times New Roman"/>
                  <w:sz w:val="17"/>
                  <w:szCs w:val="17"/>
                  <w:color w:val="0000EE"/>
                  <w:w w:val="98"/>
                </w:rPr>
                <w:t>filed on August 28, 2018 (File No. 333-227063))</w:t>
              </w:r>
            </w:hyperlink>
          </w:p>
        </w:tc>
        <w:tc>
          <w:tcPr>
            <w:tcW w:w="69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sz w:val="20"/>
                <w:szCs w:val="20"/>
                <w:color w:val="auto"/>
              </w:rPr>
            </w:pPr>
            <w:r>
              <w:rPr>
                <w:rFonts w:ascii="Times New Roman" w:cs="Times New Roman" w:eastAsia="Times New Roman" w:hAnsi="Times New Roman"/>
                <w:sz w:val="17"/>
                <w:szCs w:val="17"/>
                <w:color w:val="0000EE"/>
              </w:rPr>
              <w:t>English translation of executed form of Amended and Restated Shareholder Voting Proxy Agreement among a VIE of the Registrant, its shareholders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tcBorders>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w w:val="98"/>
              </w:rPr>
              <w:t>and the WFOE I of the Registrant as currently in effect</w:t>
            </w:r>
          </w:p>
        </w:tc>
        <w:tc>
          <w:tcPr>
            <w:tcW w:w="654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sz w:val="20"/>
                <w:szCs w:val="20"/>
                <w:color w:val="auto"/>
              </w:rPr>
            </w:pPr>
            <w:r>
              <w:rPr>
                <w:rFonts w:ascii="Times New Roman" w:cs="Times New Roman" w:eastAsia="Times New Roman" w:hAnsi="Times New Roman"/>
                <w:sz w:val="17"/>
                <w:szCs w:val="17"/>
                <w:color w:val="0000EE"/>
              </w:rPr>
              <w:t>English translation of executed form of Amended and Restated Equity Pledge Agreement among a VIE of the Registrant, its shareholders, and the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sz w:val="20"/>
                <w:szCs w:val="20"/>
                <w:color w:val="auto"/>
              </w:rPr>
            </w:pPr>
            <w:r>
              <w:rPr>
                <w:rFonts w:ascii="Times New Roman" w:cs="Times New Roman" w:eastAsia="Times New Roman" w:hAnsi="Times New Roman"/>
                <w:sz w:val="17"/>
                <w:szCs w:val="17"/>
                <w:color w:val="0000EE"/>
              </w:rPr>
              <w:t>WFOE I of the Registrant, as currently in effect</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9"/>
              </w:rPr>
            </w:pPr>
            <w:hyperlink r:id="rId169">
              <w:r>
                <w:rPr>
                  <w:rFonts w:ascii="Times New Roman" w:cs="Times New Roman" w:eastAsia="Times New Roman" w:hAnsi="Times New Roman"/>
                  <w:sz w:val="17"/>
                  <w:szCs w:val="17"/>
                  <w:color w:val="0000EE"/>
                  <w:w w:val="99"/>
                </w:rPr>
                <w:t>English translation of executed form of exclusive consultation and service agreement between a VIE and the WFOE I of the Registrant, as currently in</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effect, and a schedule of all executed exclusive consultation and service agreements adopting the same form in respect of each of the VIEs of the</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60" w:type="dxa"/>
            <w:vAlign w:val="bottom"/>
            <w:tcBorders>
              <w:bottom w:val="single" w:sz="8" w:color="0000EE"/>
            </w:tcBorders>
            <w:gridSpan w:val="23"/>
          </w:tcPr>
          <w:p>
            <w:pPr>
              <w:spacing w:after="0" w:line="182" w:lineRule="exact"/>
              <w:rPr>
                <w:rFonts w:ascii="Times New Roman" w:cs="Times New Roman" w:eastAsia="Times New Roman" w:hAnsi="Times New Roman"/>
                <w:sz w:val="17"/>
                <w:szCs w:val="17"/>
                <w:color w:val="0000EE"/>
                <w:w w:val="98"/>
              </w:rPr>
            </w:pPr>
            <w:hyperlink r:id="rId169">
              <w:r>
                <w:rPr>
                  <w:rFonts w:ascii="Times New Roman" w:cs="Times New Roman" w:eastAsia="Times New Roman" w:hAnsi="Times New Roman"/>
                  <w:sz w:val="17"/>
                  <w:szCs w:val="17"/>
                  <w:color w:val="0000EE"/>
                  <w:w w:val="98"/>
                </w:rPr>
                <w:t>Registrant (incorporated herein by reference to Exhibit 10.7 to the Form F-1 filed on August 28, 2018 (File No. 333-227063))</w:t>
              </w:r>
            </w:hyperlink>
          </w:p>
        </w:tc>
        <w:tc>
          <w:tcPr>
            <w:tcW w:w="17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sz w:val="20"/>
                <w:szCs w:val="20"/>
                <w:color w:val="auto"/>
              </w:rPr>
            </w:pPr>
            <w:r>
              <w:rPr>
                <w:rFonts w:ascii="Times New Roman" w:cs="Times New Roman" w:eastAsia="Times New Roman" w:hAnsi="Times New Roman"/>
                <w:sz w:val="17"/>
                <w:szCs w:val="17"/>
                <w:color w:val="0000EE"/>
              </w:rPr>
              <w:t>English translation of executed form of Amended and Restated Exclusive Option Agreement among a VIE of the Registrant, its shareholders, and the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sz w:val="20"/>
                <w:szCs w:val="20"/>
                <w:color w:val="auto"/>
              </w:rPr>
            </w:pPr>
            <w:r>
              <w:rPr>
                <w:rFonts w:ascii="Times New Roman" w:cs="Times New Roman" w:eastAsia="Times New Roman" w:hAnsi="Times New Roman"/>
                <w:sz w:val="17"/>
                <w:szCs w:val="17"/>
                <w:color w:val="0000EE"/>
              </w:rPr>
              <w:t>WFOE I of the Registrant, as currently in effect</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80" w:type="dxa"/>
            <w:vAlign w:val="bottom"/>
            <w:tcBorders>
              <w:bottom w:val="single" w:sz="8" w:color="0000EE"/>
            </w:tcBorders>
            <w:gridSpan w:val="27"/>
          </w:tcPr>
          <w:p>
            <w:pPr>
              <w:spacing w:after="0" w:line="182" w:lineRule="exact"/>
              <w:rPr>
                <w:sz w:val="20"/>
                <w:szCs w:val="20"/>
                <w:color w:val="auto"/>
              </w:rPr>
            </w:pPr>
            <w:r>
              <w:rPr>
                <w:rFonts w:ascii="Times New Roman" w:cs="Times New Roman" w:eastAsia="Times New Roman" w:hAnsi="Times New Roman"/>
                <w:sz w:val="17"/>
                <w:szCs w:val="17"/>
                <w:color w:val="0000EE"/>
                <w:w w:val="98"/>
              </w:rPr>
              <w:t>English translation of executed form of Amended and Restated Spousal Consent Letter of the spouse of Mr. Xiaoping Chen, as currently in effect</w:t>
            </w:r>
          </w:p>
        </w:tc>
        <w:tc>
          <w:tcPr>
            <w:tcW w:w="4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English Translation of Termination Agreement between WFOE I, Xiaoping Chen and Foshan Viomi dated April 28, 2020 (incorporated herein by</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reference to Exhibit 4.11 to the Form 20-F filed on April 26, 2021 (File No. 001-38649))</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9"/>
              </w:rPr>
            </w:pPr>
            <w:hyperlink r:id="rId171">
              <w:r>
                <w:rPr>
                  <w:rFonts w:ascii="Times New Roman" w:cs="Times New Roman" w:eastAsia="Times New Roman" w:hAnsi="Times New Roman"/>
                  <w:sz w:val="17"/>
                  <w:szCs w:val="17"/>
                  <w:color w:val="0000EE"/>
                  <w:w w:val="99"/>
                </w:rPr>
                <w:t>English translation of the Spousal Consent Letter of the spouse of Mr. Xiaoping Chen as an individual shareholder of Foshan Viomi on April 28, 2020</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0" w:type="dxa"/>
            <w:vAlign w:val="bottom"/>
            <w:tcBorders>
              <w:bottom w:val="single" w:sz="8" w:color="0000EE"/>
            </w:tcBorders>
            <w:gridSpan w:val="21"/>
          </w:tcPr>
          <w:p>
            <w:pPr>
              <w:spacing w:after="0" w:line="182" w:lineRule="exact"/>
              <w:rPr>
                <w:rFonts w:ascii="Times New Roman" w:cs="Times New Roman" w:eastAsia="Times New Roman" w:hAnsi="Times New Roman"/>
                <w:sz w:val="17"/>
                <w:szCs w:val="17"/>
                <w:color w:val="0000EE"/>
                <w:w w:val="98"/>
              </w:rPr>
            </w:pPr>
            <w:hyperlink r:id="rId171">
              <w:r>
                <w:rPr>
                  <w:rFonts w:ascii="Times New Roman" w:cs="Times New Roman" w:eastAsia="Times New Roman" w:hAnsi="Times New Roman"/>
                  <w:sz w:val="17"/>
                  <w:szCs w:val="17"/>
                  <w:color w:val="0000EE"/>
                  <w:w w:val="98"/>
                </w:rPr>
                <w:t>(incorporated herein by reference to Exhibit 4.16 to the Form 20-F filed on April 26, 2021 (File No. 001-38649))</w:t>
              </w:r>
            </w:hyperlink>
          </w:p>
        </w:tc>
        <w:tc>
          <w:tcPr>
            <w:tcW w:w="26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English translation of the Supplemental Agreement among Foshan Viomi, Guangdong Interconnect and WFOE II dated July 26, 2024 (incorporated</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172">
              <w:r>
                <w:rPr>
                  <w:rFonts w:ascii="Times New Roman" w:cs="Times New Roman" w:eastAsia="Times New Roman" w:hAnsi="Times New Roman"/>
                  <w:sz w:val="17"/>
                  <w:szCs w:val="17"/>
                  <w:color w:val="0000EE"/>
                  <w:w w:val="98"/>
                </w:rPr>
                <w:t>herein by reference to Exhibit 4.14 to the Form 20-F filed on September 30, 2025 (File No. 001-38649))</w:t>
              </w:r>
            </w:hyperlink>
          </w:p>
        </w:tc>
        <w:tc>
          <w:tcPr>
            <w:tcW w:w="3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English translation of the Equity Pledge Agreement among Foshan Viomi, Guangdong Interconnect, and WFOE II dated July 20, 2024 (incorporated</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173">
              <w:r>
                <w:rPr>
                  <w:rFonts w:ascii="Times New Roman" w:cs="Times New Roman" w:eastAsia="Times New Roman" w:hAnsi="Times New Roman"/>
                  <w:sz w:val="17"/>
                  <w:szCs w:val="17"/>
                  <w:color w:val="0000EE"/>
                  <w:w w:val="98"/>
                </w:rPr>
                <w:t>herein by reference to Exhibit 4.15 to the Form 20-F filed on September 30, 2025 (File No. 001-38649))</w:t>
              </w:r>
            </w:hyperlink>
          </w:p>
        </w:tc>
        <w:tc>
          <w:tcPr>
            <w:tcW w:w="3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English translation of the Exclusive Consultation and Service Agreement between Guangdong Interconnect and WFOE II dated July 20, 2024</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6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8"/>
              </w:rPr>
            </w:pPr>
            <w:hyperlink r:id="rId174">
              <w:r>
                <w:rPr>
                  <w:rFonts w:ascii="Times New Roman" w:cs="Times New Roman" w:eastAsia="Times New Roman" w:hAnsi="Times New Roman"/>
                  <w:sz w:val="17"/>
                  <w:szCs w:val="17"/>
                  <w:color w:val="0000EE"/>
                  <w:w w:val="98"/>
                </w:rPr>
                <w:t>(incorporated herein by reference to Exhibit 4.16 to the Form 20-F filed on September 30, 2025 (File No. 001-38649))</w:t>
              </w:r>
            </w:hyperlink>
          </w:p>
        </w:tc>
        <w:tc>
          <w:tcPr>
            <w:tcW w:w="22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8"/>
              </w:rPr>
            </w:pPr>
            <w:hyperlink r:id="rId175">
              <w:r>
                <w:rPr>
                  <w:rFonts w:ascii="Times New Roman" w:cs="Times New Roman" w:eastAsia="Times New Roman" w:hAnsi="Times New Roman"/>
                  <w:sz w:val="17"/>
                  <w:szCs w:val="17"/>
                  <w:color w:val="0000EE"/>
                  <w:w w:val="98"/>
                </w:rPr>
                <w:t>English translation of the Exclusive Option Agreement among Foshan Viomi, Guangdong Interconnect and WFOE II dated July 20, 2024 (incorporated</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20" w:type="dxa"/>
            <w:vAlign w:val="bottom"/>
            <w:tcBorders>
              <w:bottom w:val="single" w:sz="8" w:color="0000EE"/>
            </w:tcBorders>
            <w:gridSpan w:val="20"/>
          </w:tcPr>
          <w:p>
            <w:pPr>
              <w:spacing w:after="0" w:line="182" w:lineRule="exact"/>
              <w:rPr>
                <w:rFonts w:ascii="Times New Roman" w:cs="Times New Roman" w:eastAsia="Times New Roman" w:hAnsi="Times New Roman"/>
                <w:sz w:val="17"/>
                <w:szCs w:val="17"/>
                <w:color w:val="0000EE"/>
                <w:w w:val="98"/>
              </w:rPr>
            </w:pPr>
            <w:hyperlink r:id="rId175">
              <w:r>
                <w:rPr>
                  <w:rFonts w:ascii="Times New Roman" w:cs="Times New Roman" w:eastAsia="Times New Roman" w:hAnsi="Times New Roman"/>
                  <w:sz w:val="17"/>
                  <w:szCs w:val="17"/>
                  <w:color w:val="0000EE"/>
                  <w:w w:val="98"/>
                </w:rPr>
                <w:t>herein by reference to Exhibit 4.17 to the Form 20-F filed on September 30, 2025 (File No. 001-38649))</w:t>
              </w:r>
            </w:hyperlink>
          </w:p>
        </w:tc>
        <w:tc>
          <w:tcPr>
            <w:tcW w:w="3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English translation of Termination Agreement between the former WFOE, Xiaoping Chen, Foshan Viomi and Juan Zhou dated July 19, 2024</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6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8"/>
              </w:rPr>
            </w:pPr>
            <w:hyperlink r:id="rId176">
              <w:r>
                <w:rPr>
                  <w:rFonts w:ascii="Times New Roman" w:cs="Times New Roman" w:eastAsia="Times New Roman" w:hAnsi="Times New Roman"/>
                  <w:sz w:val="17"/>
                  <w:szCs w:val="17"/>
                  <w:color w:val="0000EE"/>
                  <w:w w:val="98"/>
                </w:rPr>
                <w:t>(incorporated herein by reference to Exhibit 4.18 to the Form 20-F filed on September 30, 2025 (File No. 001-38649))</w:t>
              </w:r>
            </w:hyperlink>
          </w:p>
        </w:tc>
        <w:tc>
          <w:tcPr>
            <w:tcW w:w="22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English translation of the Shareholder Voting Proxy Agreement among Foshan Viomi, Guangdong Interconnect and WFOE II dated July 20, 2024</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60" w:type="dxa"/>
            <w:vAlign w:val="bottom"/>
            <w:tcBorders>
              <w:bottom w:val="single" w:sz="8" w:color="0000EE"/>
            </w:tcBorders>
            <w:gridSpan w:val="22"/>
          </w:tcPr>
          <w:p>
            <w:pPr>
              <w:spacing w:after="0" w:line="182" w:lineRule="exact"/>
              <w:rPr>
                <w:rFonts w:ascii="Times New Roman" w:cs="Times New Roman" w:eastAsia="Times New Roman" w:hAnsi="Times New Roman"/>
                <w:sz w:val="17"/>
                <w:szCs w:val="17"/>
                <w:color w:val="0000EE"/>
                <w:w w:val="98"/>
              </w:rPr>
            </w:pPr>
            <w:hyperlink r:id="rId177">
              <w:r>
                <w:rPr>
                  <w:rFonts w:ascii="Times New Roman" w:cs="Times New Roman" w:eastAsia="Times New Roman" w:hAnsi="Times New Roman"/>
                  <w:sz w:val="17"/>
                  <w:szCs w:val="17"/>
                  <w:color w:val="0000EE"/>
                  <w:w w:val="98"/>
                </w:rPr>
                <w:t>(incorporated herein by reference to Exhibit 4.19 to the Form 20-F filed on September 30, 2025 (File No. 001-38649))</w:t>
              </w:r>
            </w:hyperlink>
          </w:p>
        </w:tc>
        <w:tc>
          <w:tcPr>
            <w:tcW w:w="22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9"/>
              </w:rPr>
            </w:pPr>
            <w:hyperlink r:id="rId178">
              <w:r>
                <w:rPr>
                  <w:rFonts w:ascii="Times New Roman" w:cs="Times New Roman" w:eastAsia="Times New Roman" w:hAnsi="Times New Roman"/>
                  <w:sz w:val="17"/>
                  <w:szCs w:val="17"/>
                  <w:color w:val="0000EE"/>
                  <w:w w:val="99"/>
                </w:rPr>
                <w:t>English translation of Business Reorganization Agreement among the Registrant, Xiaoping Chen, Viomi HK Technology Co., Limited, Zhuhai Yungui</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Enterprise Management Consulting Partnership (Limited Partnership), Foshan Viomi, and the former WFOE, WFOE I, WFOE II and certain of their</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tcBorders>
              <w:bottom w:val="single" w:sz="8" w:color="0000EE"/>
            </w:tcBorders>
            <w:gridSpan w:val="29"/>
          </w:tcPr>
          <w:p>
            <w:pPr>
              <w:spacing w:after="0" w:line="182" w:lineRule="exact"/>
              <w:rPr>
                <w:rFonts w:ascii="Times New Roman" w:cs="Times New Roman" w:eastAsia="Times New Roman" w:hAnsi="Times New Roman"/>
                <w:sz w:val="17"/>
                <w:szCs w:val="17"/>
                <w:color w:val="0000EE"/>
                <w:w w:val="98"/>
              </w:rPr>
            </w:pPr>
            <w:hyperlink r:id="rId178">
              <w:r>
                <w:rPr>
                  <w:rFonts w:ascii="Times New Roman" w:cs="Times New Roman" w:eastAsia="Times New Roman" w:hAnsi="Times New Roman"/>
                  <w:sz w:val="17"/>
                  <w:szCs w:val="17"/>
                  <w:color w:val="0000EE"/>
                  <w:w w:val="98"/>
                </w:rPr>
                <w:t>subsidiaries dated July 19, 2024 (incorporated herein by reference to Exhibit 4.20 to the Form 20-F filed on September 30, 2025 (File No. 001-38649))</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English Translation of Business Cooperation Agreement between Guangdong Lizi and Xiaomi dated October 15, 2024 (incorporated herein by</w:t>
              </w:r>
            </w:hyperlink>
          </w:p>
        </w:tc>
        <w:tc>
          <w:tcPr>
            <w:tcW w:w="0" w:type="dxa"/>
            <w:vAlign w:val="bottom"/>
          </w:tcPr>
          <w:p>
            <w:pPr>
              <w:spacing w:after="0"/>
              <w:rPr>
                <w:sz w:val="1"/>
                <w:szCs w:val="1"/>
                <w:color w:val="auto"/>
              </w:rPr>
            </w:pPr>
          </w:p>
        </w:tc>
      </w:tr>
      <w:tr>
        <w:trPr>
          <w:trHeight w:val="182"/>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8.1</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60" w:type="dxa"/>
            <w:vAlign w:val="bottom"/>
            <w:tcBorders>
              <w:bottom w:val="single" w:sz="8" w:color="0000EE"/>
            </w:tcBorders>
            <w:gridSpan w:val="18"/>
          </w:tcPr>
          <w:p>
            <w:pPr>
              <w:spacing w:after="0" w:line="182" w:lineRule="exact"/>
              <w:rPr>
                <w:rFonts w:ascii="Times New Roman" w:cs="Times New Roman" w:eastAsia="Times New Roman" w:hAnsi="Times New Roman"/>
                <w:sz w:val="17"/>
                <w:szCs w:val="17"/>
                <w:color w:val="0000EE"/>
                <w:w w:val="98"/>
              </w:rPr>
            </w:pPr>
            <w:hyperlink r:id="rId179">
              <w:r>
                <w:rPr>
                  <w:rFonts w:ascii="Times New Roman" w:cs="Times New Roman" w:eastAsia="Times New Roman" w:hAnsi="Times New Roman"/>
                  <w:sz w:val="17"/>
                  <w:szCs w:val="17"/>
                  <w:color w:val="0000EE"/>
                  <w:w w:val="98"/>
                </w:rPr>
                <w:t>reference to Exhibit 4.21 to the Form 20-F filed on September 30, 2025 (File No. 001-38649))</w:t>
              </w:r>
            </w:hyperlink>
          </w:p>
        </w:tc>
        <w:tc>
          <w:tcPr>
            <w:tcW w:w="38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List of Subsidiaries and Consolidated Variable Interest Entities of the Registrant</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0" w:type="dxa"/>
            <w:vAlign w:val="bottom"/>
            <w:gridSpan w:val="1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8"/>
              </w:rPr>
            </w:pPr>
            <w:hyperlink r:id="rId180">
              <w:r>
                <w:rPr>
                  <w:rFonts w:ascii="Times New Roman" w:cs="Times New Roman" w:eastAsia="Times New Roman" w:hAnsi="Times New Roman"/>
                  <w:sz w:val="17"/>
                  <w:szCs w:val="17"/>
                  <w:color w:val="0000EE"/>
                  <w:w w:val="98"/>
                </w:rPr>
                <w:t>Code of Business Conduct and Ethics of the Registrant (incorporated herein by reference to Exhibit 99.1 to the Form F-1 filed on August 28, 2018 (File</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7"/>
              </w:rPr>
            </w:pPr>
            <w:hyperlink r:id="rId180">
              <w:r>
                <w:rPr>
                  <w:rFonts w:ascii="Times New Roman" w:cs="Times New Roman" w:eastAsia="Times New Roman" w:hAnsi="Times New Roman"/>
                  <w:sz w:val="17"/>
                  <w:szCs w:val="17"/>
                  <w:color w:val="0000EE"/>
                  <w:w w:val="97"/>
                </w:rPr>
                <w:t>No. 333-227063))</w:t>
              </w:r>
            </w:hyperlink>
          </w:p>
        </w:tc>
        <w:tc>
          <w:tcPr>
            <w:tcW w:w="902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Amended and Restated Statement of Policies Governing Non-public Information and the Prevention of Insider Trading (incorporated herein by</w:t>
              </w:r>
            </w:hyperlink>
          </w:p>
        </w:tc>
        <w:tc>
          <w:tcPr>
            <w:tcW w:w="0" w:type="dxa"/>
            <w:vAlign w:val="bottom"/>
          </w:tcPr>
          <w:p>
            <w:pPr>
              <w:spacing w:after="0"/>
              <w:rPr>
                <w:sz w:val="1"/>
                <w:szCs w:val="1"/>
                <w:color w:val="auto"/>
              </w:rPr>
            </w:pPr>
          </w:p>
        </w:tc>
      </w:tr>
      <w:tr>
        <w:trPr>
          <w:trHeight w:val="182"/>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12.1</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40" w:type="dxa"/>
            <w:vAlign w:val="bottom"/>
            <w:tcBorders>
              <w:bottom w:val="single" w:sz="8" w:color="0000EE"/>
            </w:tcBorders>
            <w:gridSpan w:val="17"/>
          </w:tcPr>
          <w:p>
            <w:pPr>
              <w:spacing w:after="0" w:line="182" w:lineRule="exact"/>
              <w:rPr>
                <w:rFonts w:ascii="Times New Roman" w:cs="Times New Roman" w:eastAsia="Times New Roman" w:hAnsi="Times New Roman"/>
                <w:sz w:val="17"/>
                <w:szCs w:val="17"/>
                <w:color w:val="0000EE"/>
                <w:w w:val="98"/>
              </w:rPr>
            </w:pPr>
            <w:hyperlink r:id="rId181">
              <w:r>
                <w:rPr>
                  <w:rFonts w:ascii="Times New Roman" w:cs="Times New Roman" w:eastAsia="Times New Roman" w:hAnsi="Times New Roman"/>
                  <w:sz w:val="17"/>
                  <w:szCs w:val="17"/>
                  <w:color w:val="0000EE"/>
                  <w:w w:val="98"/>
                </w:rPr>
                <w:t>reference to Exhibit 11.2 to the Form 20-F filed on September 30, 2025 (File No. 001-38649))</w:t>
              </w:r>
            </w:hyperlink>
          </w:p>
        </w:tc>
        <w:tc>
          <w:tcPr>
            <w:tcW w:w="39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w w:val="99"/>
              </w:rPr>
              <w:t>CEO Certification Pursuant to Section 302 of the Sarbanes-Oxley Act of 2002</w:t>
            </w:r>
          </w:p>
        </w:tc>
        <w:tc>
          <w:tcPr>
            <w:tcW w:w="49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12.2</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9"/>
              </w:rPr>
              <w:t>CFO Certification Pursuant to Section 302 of the Sarbanes-Oxley Act of 2002</w:t>
            </w:r>
          </w:p>
        </w:tc>
        <w:tc>
          <w:tcPr>
            <w:tcW w:w="496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13.1</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w w:val="99"/>
              </w:rPr>
              <w:t>CEO Certification Pursuant to Section 906 of the Sarbanes-Oxley Act of 2002</w:t>
            </w:r>
          </w:p>
        </w:tc>
        <w:tc>
          <w:tcPr>
            <w:tcW w:w="49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13.2</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8"/>
              </w:rPr>
              <w:t>CFO Certification Pursuant to Section 906 of the Sarbanes-Oxley Act of 2002</w:t>
            </w:r>
          </w:p>
        </w:tc>
        <w:tc>
          <w:tcPr>
            <w:tcW w:w="498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15.1</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Consent of Han Kun Law Offices</w:t>
            </w:r>
          </w:p>
        </w:tc>
        <w:tc>
          <w:tcPr>
            <w:tcW w:w="0" w:type="dxa"/>
            <w:vAlign w:val="bottom"/>
          </w:tcPr>
          <w:p>
            <w:pPr>
              <w:spacing w:after="0"/>
              <w:rPr>
                <w:sz w:val="1"/>
                <w:szCs w:val="1"/>
                <w:color w:val="auto"/>
              </w:rPr>
            </w:pPr>
          </w:p>
        </w:tc>
      </w:tr>
      <w:tr>
        <w:trPr>
          <w:trHeight w:val="220"/>
        </w:trPr>
        <w:tc>
          <w:tcPr>
            <w:tcW w:w="80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15.2</w:t>
            </w:r>
            <w:r>
              <w:rPr>
                <w:rFonts w:ascii="Times New Roman" w:cs="Times New Roman" w:eastAsia="Times New Roman" w:hAnsi="Times New Roman"/>
                <w:sz w:val="25"/>
                <w:szCs w:val="25"/>
                <w:color w:val="auto"/>
                <w:vertAlign w:val="superscript"/>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Consent of WWC, P.C.</w:t>
            </w:r>
          </w:p>
        </w:tc>
        <w:tc>
          <w:tcPr>
            <w:tcW w:w="7980" w:type="dxa"/>
            <w:vAlign w:val="bottom"/>
            <w:gridSpan w:val="2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97.1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31"/>
          </w:tcPr>
          <w:p>
            <w:pPr>
              <w:spacing w:after="0" w:line="182"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Clawback Policy of the Registrant (incorporated herein by reference to Exhibit 97.1 to the Form 20-F filed on April 25, 2024 (File No. 001-38649))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24" w:right="339" w:bottom="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r>
              <w:rPr>
                <w:rFonts w:ascii="Times New Roman" w:cs="Times New Roman" w:eastAsia="Times New Roman" w:hAnsi="Times New Roman"/>
                <w:sz w:val="28"/>
                <w:szCs w:val="28"/>
                <w:color w:val="auto"/>
                <w:vertAlign w:val="superscript"/>
              </w:rPr>
              <w:t>*</w:t>
            </w: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Instance Document – this instance document does not appear on the Interactive Data File because its XBRL tags are not embedded with</w:t>
            </w:r>
          </w:p>
        </w:tc>
        <w:tc>
          <w:tcPr>
            <w:tcW w:w="0" w:type="dxa"/>
            <w:vAlign w:val="bottom"/>
          </w:tcPr>
          <w:p>
            <w:pPr>
              <w:spacing w:after="0"/>
              <w:rPr>
                <w:sz w:val="1"/>
                <w:szCs w:val="1"/>
                <w:color w:val="auto"/>
              </w:rPr>
            </w:pPr>
          </w:p>
        </w:tc>
      </w:tr>
      <w:tr>
        <w:trPr>
          <w:trHeight w:val="218"/>
        </w:trPr>
        <w:tc>
          <w:tcPr>
            <w:tcW w:w="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101.SCH</w:t>
            </w:r>
            <w:r>
              <w:rPr>
                <w:rFonts w:ascii="Times New Roman" w:cs="Times New Roman" w:eastAsia="Times New Roman" w:hAnsi="Times New Roman"/>
                <w:sz w:val="28"/>
                <w:szCs w:val="28"/>
                <w:color w:val="auto"/>
                <w:vertAlign w:val="superscript"/>
              </w:rPr>
              <w:t>*</w:t>
            </w: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Inline XBRL document</w:t>
            </w:r>
          </w:p>
        </w:tc>
        <w:tc>
          <w:tcPr>
            <w:tcW w:w="0" w:type="dxa"/>
            <w:vAlign w:val="bottom"/>
          </w:tcPr>
          <w:p>
            <w:pPr>
              <w:spacing w:after="0"/>
              <w:rPr>
                <w:sz w:val="1"/>
                <w:szCs w:val="1"/>
                <w:color w:val="auto"/>
              </w:rPr>
            </w:pPr>
          </w:p>
        </w:tc>
      </w:tr>
      <w:tr>
        <w:trPr>
          <w:trHeight w:val="221"/>
        </w:trPr>
        <w:tc>
          <w:tcPr>
            <w:tcW w:w="860" w:type="dxa"/>
            <w:vAlign w:val="bottom"/>
            <w:vMerge w:val="continue"/>
          </w:tcPr>
          <w:p>
            <w:pPr>
              <w:spacing w:after="0"/>
              <w:rPr>
                <w:sz w:val="19"/>
                <w:szCs w:val="19"/>
                <w:color w:val="auto"/>
              </w:rPr>
            </w:pP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Scheme Document</w:t>
            </w:r>
          </w:p>
        </w:tc>
        <w:tc>
          <w:tcPr>
            <w:tcW w:w="0" w:type="dxa"/>
            <w:vAlign w:val="bottom"/>
          </w:tcPr>
          <w:p>
            <w:pPr>
              <w:spacing w:after="0"/>
              <w:rPr>
                <w:sz w:val="1"/>
                <w:szCs w:val="1"/>
                <w:color w:val="auto"/>
              </w:rPr>
            </w:pPr>
          </w:p>
        </w:tc>
      </w:tr>
      <w:tr>
        <w:trPr>
          <w:trHeight w:val="240"/>
        </w:trPr>
        <w:tc>
          <w:tcPr>
            <w:tcW w:w="8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101.CAL</w:t>
            </w:r>
            <w:r>
              <w:rPr>
                <w:rFonts w:ascii="Times New Roman" w:cs="Times New Roman" w:eastAsia="Times New Roman" w:hAnsi="Times New Roman"/>
                <w:sz w:val="27"/>
                <w:szCs w:val="27"/>
                <w:color w:val="auto"/>
                <w:vertAlign w:val="superscript"/>
              </w:rPr>
              <w:t>*</w:t>
            </w: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40"/>
        </w:trPr>
        <w:tc>
          <w:tcPr>
            <w:tcW w:w="8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101.DEF</w:t>
            </w:r>
            <w:r>
              <w:rPr>
                <w:rFonts w:ascii="Times New Roman" w:cs="Times New Roman" w:eastAsia="Times New Roman" w:hAnsi="Times New Roman"/>
                <w:sz w:val="27"/>
                <w:szCs w:val="27"/>
                <w:color w:val="auto"/>
                <w:vertAlign w:val="superscript"/>
              </w:rPr>
              <w:t>*</w:t>
            </w: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40"/>
        </w:trPr>
        <w:tc>
          <w:tcPr>
            <w:tcW w:w="8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101.LAB</w:t>
            </w:r>
            <w:r>
              <w:rPr>
                <w:rFonts w:ascii="Times New Roman" w:cs="Times New Roman" w:eastAsia="Times New Roman" w:hAnsi="Times New Roman"/>
                <w:sz w:val="27"/>
                <w:szCs w:val="27"/>
                <w:color w:val="auto"/>
                <w:vertAlign w:val="superscript"/>
              </w:rPr>
              <w:t>*</w:t>
            </w: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40"/>
        </w:trPr>
        <w:tc>
          <w:tcPr>
            <w:tcW w:w="86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101.PRE</w:t>
            </w:r>
            <w:r>
              <w:rPr>
                <w:rFonts w:ascii="Times New Roman" w:cs="Times New Roman" w:eastAsia="Times New Roman" w:hAnsi="Times New Roman"/>
                <w:sz w:val="27"/>
                <w:szCs w:val="27"/>
                <w:color w:val="auto"/>
                <w:vertAlign w:val="superscript"/>
              </w:rPr>
              <w:t>*</w:t>
            </w: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3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104</w:t>
            </w:r>
            <w:r>
              <w:rPr>
                <w:rFonts w:ascii="Times New Roman" w:cs="Times New Roman" w:eastAsia="Times New Roman" w:hAnsi="Times New Roman"/>
                <w:sz w:val="28"/>
                <w:szCs w:val="28"/>
                <w:color w:val="auto"/>
                <w:vertAlign w:val="superscript"/>
              </w:rPr>
              <w:t>*</w:t>
            </w:r>
          </w:p>
        </w:tc>
        <w:tc>
          <w:tcPr>
            <w:tcW w:w="10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with this Annual Report on Form 20-F.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with this Annual Report on Form 20-F.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0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Xiaoping Chen</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Xiaoping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Chairman of the Board of Directors and Chief 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22,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95"/>
        </w:trPr>
        <w:tc>
          <w:tcPr>
            <w:tcW w:w="1064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gridSpan w:val="4"/>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w w:val="98"/>
              </w:rPr>
              <w:t>VIOMI TECHNOLOGY CO., LTD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60" w:type="dxa"/>
            <w:vAlign w:val="bottom"/>
            <w:gridSpan w:val="6"/>
          </w:tcPr>
          <w:p>
            <w:pPr>
              <w:jc w:val="center"/>
              <w:ind w:right="2580"/>
              <w:spacing w:after="0"/>
              <w:rPr>
                <w:sz w:val="20"/>
                <w:szCs w:val="20"/>
                <w:color w:val="auto"/>
              </w:rPr>
            </w:pPr>
            <w:r>
              <w:rPr>
                <w:rFonts w:ascii="Times New Roman" w:cs="Times New Roman" w:eastAsia="Times New Roman" w:hAnsi="Times New Roman"/>
                <w:sz w:val="17"/>
                <w:szCs w:val="17"/>
                <w:b w:val="1"/>
                <w:bCs w:val="1"/>
                <w:color w:val="auto"/>
                <w:w w:val="97"/>
              </w:rPr>
              <w:t>INDEX TO THE CONSOLIDATED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(PCAOB ID 1171)</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Balance Sheets as of December 31, 2024 and 2025</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Comprehensive (Loss) Income for the Years Ended December 31, 2023, 2024 and 2025</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Changes in Shareholders’ Equity for the Years Ended December 31, 2023, 2024 and 2025</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2023, 2024 and 2025</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19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gridSpan w:val="4"/>
          </w:tcPr>
          <w:p>
            <w:pPr>
              <w:jc w:val="center"/>
              <w:ind w:right="3740"/>
              <w:spacing w:after="0"/>
              <w:rPr>
                <w:sz w:val="20"/>
                <w:szCs w:val="20"/>
                <w:color w:val="auto"/>
              </w:rPr>
            </w:pPr>
            <w:r>
              <w:rPr>
                <w:rFonts w:ascii="Times New Roman" w:cs="Times New Roman" w:eastAsia="Times New Roman" w:hAnsi="Times New Roman"/>
                <w:sz w:val="17"/>
                <w:szCs w:val="17"/>
                <w:color w:val="auto"/>
              </w:rPr>
              <w:t>F-1</w:t>
            </w:r>
          </w:p>
        </w:tc>
        <w:tc>
          <w:tcPr>
            <w:tcW w:w="6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0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142240</wp:posOffset>
            </wp:positionV>
            <wp:extent cx="5604510" cy="9690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560451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Viomi Technology Co., Ltd and its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Viomi Technology Co., Ltd and its subsidiaries (the Company) as of December 31, 2024 and 2025, and the related consolidated statements of comprehensive (loss) income, changes in shareholders’ equity, and cash flows for each of the years in the three-year period ended December 31, 2025, and the related notes (collectively referred to as the financial statements). In our opinion, the financial statements present fairly, in all material respects, the financial position of the Company as of December 31, 2024 and 2025, and the results of its operations and its cash flows for each of the years in the three-year period ended December 31, 2025,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87249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87249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WWC, P.C.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1171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40" w:name="page141"/>
    <w:bookmarkEnd w:id="14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As of December 31,</w:t>
            </w:r>
          </w:p>
        </w:tc>
        <w:tc>
          <w:tcPr>
            <w:tcW w:w="1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340" w:type="dxa"/>
            <w:vAlign w:val="bottom"/>
          </w:tcPr>
          <w:p>
            <w:pPr>
              <w:spacing w:after="0"/>
              <w:rPr>
                <w:sz w:val="18"/>
                <w:szCs w:val="18"/>
                <w:color w:val="auto"/>
              </w:rPr>
            </w:pPr>
          </w:p>
        </w:tc>
        <w:tc>
          <w:tcPr>
            <w:tcW w:w="16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jc w:val="right"/>
              <w:ind w:right="556"/>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5"/>
                <w:szCs w:val="15"/>
                <w:color w:val="auto"/>
              </w:rPr>
            </w:pPr>
          </w:p>
        </w:tc>
        <w:tc>
          <w:tcPr>
            <w:tcW w:w="168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5"/>
                <w:szCs w:val="15"/>
                <w:color w:val="auto"/>
              </w:rPr>
            </w:pPr>
          </w:p>
        </w:tc>
        <w:tc>
          <w:tcPr>
            <w:tcW w:w="1680" w:type="dxa"/>
            <w:vAlign w:val="bottom"/>
          </w:tcPr>
          <w:p>
            <w:pPr>
              <w:jc w:val="right"/>
              <w:ind w:right="596"/>
              <w:spacing w:after="0" w:line="17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(Note2(e))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1,026,188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806,599</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115,342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141,292</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164,431</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23,513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deposits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115,014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257,950</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36,886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72,500</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82,598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11,811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Accounts and notes receivable from third parties (net of allowance of</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RMB9,786 and RMB6,750 as of December 31, 2024 and December 31,</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respectively)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24,105</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24,535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Accounts receivable from related parties (net of allowance of RMB1,178</w:t>
            </w: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nil as of December 31, 2024 and December 31, 2025, respectively)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591,221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340,173</w:t>
            </w:r>
          </w:p>
        </w:tc>
        <w:tc>
          <w:tcPr>
            <w:tcW w:w="3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Other receivables from related parties (net of allowance of RMB1 and nil as</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December 31, 2024 and December 31, 2025, respectively)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11,234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112,325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126,879</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18,143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71,363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157,096</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2,165,242</w:t>
            </w:r>
          </w:p>
        </w:tc>
        <w:tc>
          <w:tcPr>
            <w:tcW w:w="34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1,960,461</w:t>
            </w:r>
          </w:p>
        </w:tc>
        <w:tc>
          <w:tcPr>
            <w:tcW w:w="34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280,346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non-current assets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18,053</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19,055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315,309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305,432</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43,676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deposits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20,101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9,698</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8,415</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6,255</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net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3,382</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 net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57,904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56,631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Long-term investment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7,588</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12,952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420,458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430,487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61,557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2,585,700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2,390,948</w:t>
            </w: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341,903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Accounts and notes payable (including accounts and notes payable of the</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variable interest entities and their subsidiaries (“VIEs”) without</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recourse to the Company of RMB4,320 and RMB26 as of December 31,</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and 2025, respectively)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772,151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517,878</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Advances from customers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11,537</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10,153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835</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596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Accrued expenses and other liabilities (including accrued expenses and other</w:t>
            </w: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liabilities of the consolidated VIEs without recourse to the Company of</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RMB1,046 and RMB5,853 as of December 31, 2024 and 2025, respectively)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168,127</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157,043</w:t>
            </w:r>
          </w:p>
        </w:tc>
        <w:tc>
          <w:tcPr>
            <w:tcW w:w="3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borrowing</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50,000</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Income tax payables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9,736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due within one year</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2,037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Long-term borrowing-current portion</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29,300</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25,061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1,043,723</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753,480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107,747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liabilities – non-current portion</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14,492</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53,117</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borrowing</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75,945</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51,666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1,783</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92,220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105,204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15,044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1,135,943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858,684</w:t>
            </w: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122,791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23)</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Class A Ordinary Shares (US$0.00001 par value; 4,800,000,000 shares</w:t>
            </w: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authorized; 101,059,544 and 99,200,641 shares issued and outstanding as of</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2024 and December 31, 2025, respectively)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Class B Ordinary Shares (US$0.00001 par value; 150,000,000 shares</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authorized; 102,764,550 and 102,764,548 shares issued and outstanding as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December 31, 2024 and December 31, 2025, respectively )</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(85,426)</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(103,085)</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1,374,451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1,414,499</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202,271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153,125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226,317</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32,363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2,279</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(11,080)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 attributable to shareholders of the Company</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1,444,441</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1,526,663</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218,311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240"/>
          </w:cols>
          <w:pgMar w:left="320" w:top="224" w:right="339" w:bottom="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3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5,601</w:t>
            </w:r>
          </w:p>
        </w:tc>
        <w:tc>
          <w:tcPr>
            <w:tcW w:w="3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7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1,449,757</w:t>
            </w:r>
          </w:p>
        </w:tc>
        <w:tc>
          <w:tcPr>
            <w:tcW w:w="34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1,532,264</w:t>
            </w:r>
          </w:p>
        </w:tc>
        <w:tc>
          <w:tcPr>
            <w:tcW w:w="34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219,112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2,585,700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2,390,948</w:t>
            </w:r>
          </w:p>
        </w:tc>
        <w:tc>
          <w:tcPr>
            <w:tcW w:w="3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341,903</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F-3</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2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right"/>
              <w:ind w:right="981"/>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Pr>
          <w:p>
            <w:pPr>
              <w:spacing w:after="0"/>
              <w:rPr>
                <w:sz w:val="18"/>
                <w:szCs w:val="18"/>
                <w:color w:val="auto"/>
              </w:rPr>
            </w:pP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8"/>
                <w:szCs w:val="18"/>
                <w:color w:val="auto"/>
              </w:rPr>
            </w:pPr>
          </w:p>
        </w:tc>
        <w:tc>
          <w:tcPr>
            <w:tcW w:w="14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18"/>
                <w:szCs w:val="18"/>
                <w:color w:val="auto"/>
              </w:rPr>
            </w:pPr>
          </w:p>
        </w:tc>
        <w:tc>
          <w:tcPr>
            <w:tcW w:w="14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80" w:type="dxa"/>
            <w:vAlign w:val="bottom"/>
          </w:tcPr>
          <w:p>
            <w:pPr>
              <w:jc w:val="right"/>
              <w:ind w:right="456"/>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5"/>
                <w:szCs w:val="15"/>
                <w:color w:val="auto"/>
              </w:rPr>
            </w:pPr>
          </w:p>
        </w:tc>
        <w:tc>
          <w:tcPr>
            <w:tcW w:w="1480" w:type="dxa"/>
            <w:vAlign w:val="bottom"/>
          </w:tcPr>
          <w:p>
            <w:pPr>
              <w:jc w:val="right"/>
              <w:ind w:right="456"/>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5"/>
                <w:szCs w:val="15"/>
                <w:color w:val="auto"/>
              </w:rPr>
            </w:pPr>
          </w:p>
        </w:tc>
        <w:tc>
          <w:tcPr>
            <w:tcW w:w="1460" w:type="dxa"/>
            <w:vAlign w:val="bottom"/>
          </w:tcPr>
          <w:p>
            <w:pPr>
              <w:jc w:val="right"/>
              <w:ind w:right="456"/>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20" w:type="dxa"/>
            <w:vAlign w:val="bottom"/>
          </w:tcPr>
          <w:p>
            <w:pPr>
              <w:spacing w:after="0"/>
              <w:rPr>
                <w:sz w:val="15"/>
                <w:szCs w:val="15"/>
                <w:color w:val="auto"/>
              </w:rPr>
            </w:pPr>
          </w:p>
        </w:tc>
        <w:tc>
          <w:tcPr>
            <w:tcW w:w="1440" w:type="dxa"/>
            <w:vAlign w:val="bottom"/>
          </w:tcPr>
          <w:p>
            <w:pPr>
              <w:jc w:val="right"/>
              <w:ind w:right="476"/>
              <w:spacing w:after="0" w:line="17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9"/>
              </w:rPr>
              <w:t>(Note2(e))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Related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1,292,880</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1,819,098</w:t>
            </w: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2,214,789</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316,711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parties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345,856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299,884</w:t>
            </w: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213,437</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30,521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net revenues</w:t>
            </w: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1,638,736</w:t>
            </w:r>
          </w:p>
        </w:tc>
        <w:tc>
          <w:tcPr>
            <w:tcW w:w="34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2,118,982</w:t>
            </w:r>
          </w:p>
        </w:tc>
        <w:tc>
          <w:tcPr>
            <w:tcW w:w="34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2,428,226</w:t>
            </w:r>
          </w:p>
        </w:tc>
        <w:tc>
          <w:tcPr>
            <w:tcW w:w="32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347,232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Cost of revenues</w:t>
            </w:r>
          </w:p>
        </w:tc>
        <w:tc>
          <w:tcPr>
            <w:tcW w:w="14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(1,116,720</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(1,570,276</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(1,813,226</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(259,288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14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522,016</w:t>
            </w:r>
          </w:p>
        </w:tc>
        <w:tc>
          <w:tcPr>
            <w:tcW w:w="34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548,706</w:t>
            </w:r>
          </w:p>
        </w:tc>
        <w:tc>
          <w:tcPr>
            <w:tcW w:w="340" w:type="dxa"/>
            <w:vAlign w:val="bottom"/>
          </w:tcPr>
          <w:p>
            <w:pPr>
              <w:spacing w:after="0"/>
              <w:rPr>
                <w:sz w:val="16"/>
                <w:szCs w:val="16"/>
                <w:color w:val="auto"/>
              </w:rPr>
            </w:pPr>
          </w:p>
        </w:tc>
        <w:tc>
          <w:tcPr>
            <w:tcW w:w="14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615,000</w:t>
            </w:r>
          </w:p>
        </w:tc>
        <w:tc>
          <w:tcPr>
            <w:tcW w:w="320" w:type="dxa"/>
            <w:vAlign w:val="bottom"/>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87,944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(148,879)</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(142,884)</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(165,593)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(23,679)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(214,610)</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(211,173)</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(277,681)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(57,346)</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(70,807)</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(86,123)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(420,835)</w:t>
            </w:r>
          </w:p>
        </w:tc>
        <w:tc>
          <w:tcPr>
            <w:tcW w:w="3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(424,864)</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(529,397)</w:t>
            </w: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(75,702)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8,887</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32,492</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42,951</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6,142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110,068</w:t>
            </w:r>
          </w:p>
        </w:tc>
        <w:tc>
          <w:tcPr>
            <w:tcW w:w="3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156,334</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128,554</w:t>
            </w: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18,384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Interest and investment income, net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16,831</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5,264</w:t>
            </w: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26,533</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3,794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non-operating income (loss)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3,164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(500)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Income before income tax expenses</w:t>
            </w: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130,063</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161,598</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154,587</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22,107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(13,588)</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(16,913)</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(12,658)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income from continuing operations</w:t>
            </w: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116,475</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144,685</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141,929</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20,297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(205,808)</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(82,341)</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(loss) income</w:t>
            </w: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(89,333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62,344</w:t>
            </w:r>
          </w:p>
        </w:tc>
        <w:tc>
          <w:tcPr>
            <w:tcW w:w="34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141,929</w:t>
            </w:r>
          </w:p>
        </w:tc>
        <w:tc>
          <w:tcPr>
            <w:tcW w:w="32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20,297</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Less: Net (loss) income attributable to the non-controlling</w:t>
            </w: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shareholders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(4,659)</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(1,070)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285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Net (loss) income attributable to ordinary shareholders</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of the Company</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(84,674)</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63,414</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141,644</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20,256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Including</w:t>
            </w:r>
            <w:r>
              <w:rPr>
                <w:rFonts w:ascii="SimSun" w:cs="SimSun" w:eastAsia="SimSun" w:hAnsi="SimSun"/>
                <w:sz w:val="17"/>
                <w:szCs w:val="17"/>
                <w:color w:val="auto"/>
              </w:rPr>
              <w:t>：</w:t>
            </w:r>
          </w:p>
        </w:tc>
        <w:tc>
          <w:tcPr>
            <w:tcW w:w="1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Net income from continuing operations attributable to</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ordinary shareholders of the Company</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116,768</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144,364</w:t>
            </w:r>
          </w:p>
        </w:tc>
        <w:tc>
          <w:tcPr>
            <w:tcW w:w="340" w:type="dxa"/>
            <w:vAlign w:val="bottom"/>
          </w:tcPr>
          <w:p>
            <w:pPr>
              <w:spacing w:after="0"/>
              <w:rPr>
                <w:sz w:val="18"/>
                <w:szCs w:val="18"/>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141,644</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20,256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Net loss from discontinued operations attributable to</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shareholders of the Company</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(201,442)</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(80,950)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10,007</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16,607</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(13,359)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Total comprehensive (loss) income attributable to</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ordinary shareholders of the Company</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(74,667)</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80,021</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128,285</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18,346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Net (loss) income per share attributable to ordinary</w:t>
            </w:r>
          </w:p>
        </w:tc>
        <w:tc>
          <w:tcPr>
            <w:tcW w:w="1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of the Company</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(0.41)</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0.31</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0.69</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0.57</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0.70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0.69</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(0.98)</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(0.39)</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(0.41)</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0.31</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0.67</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0.56</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0.70</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0.67</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(0.97)</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(0.39)</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Weighted average number of ordinary shares used in</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calculating net (loss) income per share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206,387,105</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204,787,786</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203,997,871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203,997,871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206,387,105</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204,787,786</w:t>
            </w: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207,667,763</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206,690,917</w:t>
            </w: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210,920,493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210,920,493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207,667,763</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206,690,917</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-3336925</wp:posOffset>
            </wp:positionV>
            <wp:extent cx="41910" cy="838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41910" cy="838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2"/>
                <w:szCs w:val="12"/>
                <w:color w:val="auto"/>
              </w:rPr>
            </w:pPr>
          </w:p>
        </w:tc>
        <w:tc>
          <w:tcPr>
            <w:tcW w:w="14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Class A Ordinary</w:t>
            </w:r>
          </w:p>
        </w:tc>
        <w:tc>
          <w:tcPr>
            <w:tcW w:w="14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Class B Ordinary</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8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8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3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Capital</w:t>
            </w:r>
          </w:p>
        </w:tc>
        <w:tc>
          <w:tcPr>
            <w:tcW w:w="7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(Loss) Income</w:t>
            </w:r>
          </w:p>
        </w:tc>
        <w:tc>
          <w:tcPr>
            <w:tcW w:w="10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of the Company</w:t>
            </w:r>
          </w:p>
        </w:tc>
        <w:tc>
          <w:tcPr>
            <w:tcW w:w="8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98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ind w:right="13"/>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ind w:right="13"/>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ind w:right="53"/>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1"/>
                <w:szCs w:val="11"/>
                <w:color w:val="auto"/>
              </w:rPr>
            </w:pPr>
          </w:p>
        </w:tc>
        <w:tc>
          <w:tcPr>
            <w:tcW w:w="9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9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3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Balance as of January</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104,539,463</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102,854,550</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1,357,397</w:t>
            </w: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8,523,708</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(74,703)</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174,385</w:t>
            </w:r>
          </w:p>
        </w:tc>
        <w:tc>
          <w:tcPr>
            <w:tcW w:w="10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(24,335)</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1,432,756</w:t>
            </w:r>
          </w:p>
        </w:tc>
        <w:tc>
          <w:tcPr>
            <w:tcW w:w="12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(3,593)</w:t>
            </w: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1,429,163</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1, 2023</w:t>
            </w:r>
          </w:p>
        </w:tc>
        <w:tc>
          <w:tcPr>
            <w:tcW w:w="8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Net loss attributable to</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the Company and non-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controlling interest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(84,674)</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(84,674)</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(4,659)</w:t>
            </w: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(89,333)</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shareholders</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Share-based</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compensation related to</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2015 and 2018 Share</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106</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Incentive Plan</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Foreign currency</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10,007</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10,007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10,007</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translation adjustment</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Class B Ordinary</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shares converted to</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Class A Ordinary</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90,000</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(90,000)</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Issuance of ordinary</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shares for exercised</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176,883</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 options</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Repurchase of shares</w:t>
            </w:r>
          </w:p>
        </w:tc>
        <w:tc>
          <w:tcPr>
            <w:tcW w:w="86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(2,903,802)</w:t>
            </w:r>
          </w:p>
        </w:tc>
        <w:tc>
          <w:tcPr>
            <w:tcW w:w="58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2,903,802</w:t>
            </w:r>
          </w:p>
        </w:tc>
        <w:tc>
          <w:tcPr>
            <w:tcW w:w="640" w:type="dxa"/>
            <w:vAlign w:val="bottom"/>
            <w:gridSpan w:val="2"/>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(6,440)</w:t>
            </w:r>
          </w:p>
        </w:tc>
        <w:tc>
          <w:tcPr>
            <w:tcW w:w="7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(6,440)</w:t>
            </w: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(6,440)</w:t>
            </w: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Capital injection in a</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subsidiary from a non-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controlling interest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shareholder</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(3,888)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(3,888)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4,003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94"/>
        </w:trPr>
        <w:tc>
          <w:tcPr>
            <w:tcW w:w="134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7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101,902,544</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102,764,550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1,353,634</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11,427,510</w:t>
            </w:r>
          </w:p>
        </w:tc>
        <w:tc>
          <w:tcPr>
            <w:tcW w:w="6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2"/>
                <w:szCs w:val="12"/>
                <w:color w:val="auto"/>
              </w:rPr>
              <w:t>(81,143</w:t>
            </w:r>
            <w:r>
              <w:rPr>
                <w:rFonts w:ascii="Times New Roman" w:cs="Times New Roman" w:eastAsia="Times New Roman" w:hAnsi="Times New Roman"/>
                <w:sz w:val="21"/>
                <w:szCs w:val="21"/>
                <w:color w:val="auto"/>
                <w:vertAlign w:val="super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89,711</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2"/>
                <w:szCs w:val="12"/>
                <w:color w:val="auto"/>
              </w:rPr>
              <w:t>(14,328</w:t>
            </w:r>
            <w:r>
              <w:rPr>
                <w:rFonts w:ascii="Times New Roman" w:cs="Times New Roman" w:eastAsia="Times New Roman" w:hAnsi="Times New Roman"/>
                <w:sz w:val="21"/>
                <w:szCs w:val="21"/>
                <w:color w:val="auto"/>
                <w:vertAlign w:val="superscript"/>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1,347,886</w:t>
            </w:r>
          </w:p>
        </w:tc>
        <w:tc>
          <w:tcPr>
            <w:tcW w:w="8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2"/>
                <w:szCs w:val="12"/>
                <w:color w:val="auto"/>
              </w:rPr>
              <w:t>(4,249</w:t>
            </w:r>
            <w:r>
              <w:rPr>
                <w:rFonts w:ascii="Times New Roman" w:cs="Times New Roman" w:eastAsia="Times New Roman" w:hAnsi="Times New Roman"/>
                <w:sz w:val="21"/>
                <w:szCs w:val="21"/>
                <w:color w:val="auto"/>
                <w:vertAlign w:val="superscript"/>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1,343,637</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bottom w:val="single" w:sz="8" w:color="CCEEFF"/>
            </w:tcBorders>
            <w:vMerge w:val="restart"/>
          </w:tcPr>
          <w:p>
            <w:pPr>
              <w:spacing w:after="0" w:line="111" w:lineRule="exact"/>
              <w:rPr>
                <w:sz w:val="20"/>
                <w:szCs w:val="20"/>
                <w:color w:val="auto"/>
              </w:rPr>
            </w:pPr>
            <w:r>
              <w:rPr>
                <w:rFonts w:ascii="Times New Roman" w:cs="Times New Roman" w:eastAsia="Times New Roman" w:hAnsi="Times New Roman"/>
                <w:sz w:val="12"/>
                <w:szCs w:val="12"/>
                <w:color w:val="auto"/>
              </w:rPr>
              <w:t>Net income (loss)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13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attributable to the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Company and non-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controlling interest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63,414</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63,414</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(1,070)</w:t>
            </w: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62,344</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shareholders</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Disposal of</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4,257</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4,257</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9,635</w:t>
            </w: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13,892</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discontinued operations</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Share-based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compensation related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2015 and 2018 Share</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16,450</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16,450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16,450</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Incentive Plan</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Foreign currency</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16,607</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16,607</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16,607</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translation adjustment</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Issuance of ordinary</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shares for exercised</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355,542</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110</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110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 options</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Repurchase of ordinary</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(1,198,542)</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1,198,542</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(4,283)</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(4,283)</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(4,283)</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Capital injection in a</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subsidiary from a non-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controlling interest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shareholder</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94"/>
        </w:trPr>
        <w:tc>
          <w:tcPr>
            <w:tcW w:w="134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7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101,059,544</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102,764,550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1,374,451</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12,626,052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(85,426)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153,125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2,279</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1,444,441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5,316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1,449,757</w:t>
            </w:r>
          </w:p>
        </w:tc>
        <w:tc>
          <w:tcPr>
            <w:tcW w:w="0" w:type="dxa"/>
            <w:vAlign w:val="bottom"/>
          </w:tcPr>
          <w:p>
            <w:pPr>
              <w:spacing w:after="0"/>
              <w:rPr>
                <w:sz w:val="1"/>
                <w:szCs w:val="1"/>
                <w:color w:val="auto"/>
              </w:rPr>
            </w:pPr>
          </w:p>
        </w:tc>
      </w:tr>
      <w:tr>
        <w:trPr>
          <w:trHeight w:val="98"/>
        </w:trPr>
        <w:tc>
          <w:tcPr>
            <w:tcW w:w="134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Net income attributable</w:t>
            </w: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to the Company and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non-controlling interest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141,644</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141,644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Pr>
          <w:p>
            <w:pPr>
              <w:spacing w:after="0"/>
              <w:rPr>
                <w:sz w:val="12"/>
                <w:szCs w:val="1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141,929</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shareholders</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Purchase of minor</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equity interests of a</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(7,728)</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(7,728)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(7,728)</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subsidiary</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Share-based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compensation related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2015 and 2018 Share</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14,080</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14,080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14,080</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Incentive Plan</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Foreign currency</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(13,359)</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(13,359)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(13,359)</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translation adjustment</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Issuance of ordinary</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shares for exercised</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1,218,363</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7,203</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7,203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7,203</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 options</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Repurchase of ordinary</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(3,077,262)</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3,077,262</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(17,659)</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(17,659)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(17,659)</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w:t>
            </w:r>
          </w:p>
        </w:tc>
        <w:tc>
          <w:tcPr>
            <w:tcW w:w="86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Appropriation to</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26,493</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(26,493)</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statutory reserves</w:t>
            </w:r>
          </w:p>
        </w:tc>
        <w:tc>
          <w:tcPr>
            <w:tcW w:w="8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Dividends declared</w:t>
            </w:r>
          </w:p>
        </w:tc>
        <w:tc>
          <w:tcPr>
            <w:tcW w:w="86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3"/>
                <w:szCs w:val="13"/>
                <w:color w:val="auto"/>
              </w:rPr>
              <w:t>(41,959)</w:t>
            </w:r>
          </w:p>
        </w:tc>
        <w:tc>
          <w:tcPr>
            <w:tcW w:w="100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(41,959)</w:t>
            </w: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(41,959)</w:t>
            </w:r>
          </w:p>
        </w:tc>
        <w:tc>
          <w:tcPr>
            <w:tcW w:w="0" w:type="dxa"/>
            <w:vAlign w:val="bottom"/>
          </w:tcPr>
          <w:p>
            <w:pPr>
              <w:spacing w:after="0"/>
              <w:rPr>
                <w:sz w:val="1"/>
                <w:szCs w:val="1"/>
                <w:color w:val="auto"/>
              </w:rPr>
            </w:pPr>
          </w:p>
        </w:tc>
      </w:tr>
      <w:tr>
        <w:trPr>
          <w:trHeight w:val="151"/>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Cancellation of shares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4"/>
        </w:trPr>
        <w:tc>
          <w:tcPr>
            <w:tcW w:w="134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7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99,200,641</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102,764,548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1,414,499</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15,703,314</w:t>
            </w:r>
          </w:p>
        </w:tc>
        <w:tc>
          <w:tcPr>
            <w:tcW w:w="6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2"/>
                <w:szCs w:val="12"/>
                <w:b w:val="1"/>
                <w:bCs w:val="1"/>
                <w:color w:val="auto"/>
              </w:rPr>
              <w:t>(103,085</w:t>
            </w:r>
            <w:r>
              <w:rPr>
                <w:rFonts w:ascii="Times New Roman" w:cs="Times New Roman" w:eastAsia="Times New Roman" w:hAnsi="Times New Roman"/>
                <w:sz w:val="21"/>
                <w:szCs w:val="21"/>
                <w:b w:val="1"/>
                <w:bCs w:val="1"/>
                <w:color w:val="auto"/>
                <w:vertAlign w:val="superscript"/>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226,317</w:t>
            </w:r>
          </w:p>
        </w:tc>
        <w:tc>
          <w:tcPr>
            <w:tcW w:w="10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2"/>
                <w:szCs w:val="12"/>
                <w:b w:val="1"/>
                <w:bCs w:val="1"/>
                <w:color w:val="auto"/>
              </w:rPr>
              <w:t>(11,080</w:t>
            </w:r>
            <w:r>
              <w:rPr>
                <w:rFonts w:ascii="Times New Roman" w:cs="Times New Roman" w:eastAsia="Times New Roman" w:hAnsi="Times New Roman"/>
                <w:sz w:val="21"/>
                <w:szCs w:val="21"/>
                <w:b w:val="1"/>
                <w:bCs w:val="1"/>
                <w:color w:val="auto"/>
                <w:vertAlign w:val="superscript"/>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1,526,663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5,601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1,532,264</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44" w:name="page145"/>
    <w:bookmarkEnd w:id="14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right"/>
              <w:ind w:right="981"/>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4280" w:type="dxa"/>
            <w:vAlign w:val="bottom"/>
          </w:tcPr>
          <w:p>
            <w:pPr>
              <w:spacing w:after="0"/>
              <w:rPr>
                <w:sz w:val="18"/>
                <w:szCs w:val="18"/>
                <w:color w:val="auto"/>
              </w:rPr>
            </w:pPr>
          </w:p>
        </w:tc>
        <w:tc>
          <w:tcPr>
            <w:tcW w:w="14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Pr>
          <w:p>
            <w:pPr>
              <w:spacing w:after="0"/>
              <w:rPr>
                <w:sz w:val="18"/>
                <w:szCs w:val="18"/>
                <w:color w:val="auto"/>
              </w:rPr>
            </w:pP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8"/>
                <w:szCs w:val="18"/>
                <w:color w:val="auto"/>
              </w:rPr>
            </w:pPr>
          </w:p>
        </w:tc>
        <w:tc>
          <w:tcPr>
            <w:tcW w:w="14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18"/>
                <w:szCs w:val="18"/>
                <w:color w:val="auto"/>
              </w:rPr>
            </w:pPr>
          </w:p>
        </w:tc>
        <w:tc>
          <w:tcPr>
            <w:tcW w:w="14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r>
      <w:tr>
        <w:trPr>
          <w:trHeight w:val="174"/>
        </w:trPr>
        <w:tc>
          <w:tcPr>
            <w:tcW w:w="4280" w:type="dxa"/>
            <w:vAlign w:val="bottom"/>
          </w:tcPr>
          <w:p>
            <w:pPr>
              <w:spacing w:after="0"/>
              <w:rPr>
                <w:sz w:val="15"/>
                <w:szCs w:val="15"/>
                <w:color w:val="auto"/>
              </w:rPr>
            </w:pPr>
          </w:p>
        </w:tc>
        <w:tc>
          <w:tcPr>
            <w:tcW w:w="1480" w:type="dxa"/>
            <w:vAlign w:val="bottom"/>
          </w:tcPr>
          <w:p>
            <w:pPr>
              <w:jc w:val="right"/>
              <w:ind w:right="456"/>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5"/>
                <w:szCs w:val="15"/>
                <w:color w:val="auto"/>
              </w:rPr>
            </w:pPr>
          </w:p>
        </w:tc>
        <w:tc>
          <w:tcPr>
            <w:tcW w:w="1480" w:type="dxa"/>
            <w:vAlign w:val="bottom"/>
          </w:tcPr>
          <w:p>
            <w:pPr>
              <w:jc w:val="right"/>
              <w:ind w:right="456"/>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40" w:type="dxa"/>
            <w:vAlign w:val="bottom"/>
          </w:tcPr>
          <w:p>
            <w:pPr>
              <w:spacing w:after="0"/>
              <w:rPr>
                <w:sz w:val="15"/>
                <w:szCs w:val="15"/>
                <w:color w:val="auto"/>
              </w:rPr>
            </w:pPr>
          </w:p>
        </w:tc>
        <w:tc>
          <w:tcPr>
            <w:tcW w:w="1460" w:type="dxa"/>
            <w:vAlign w:val="bottom"/>
          </w:tcPr>
          <w:p>
            <w:pPr>
              <w:jc w:val="right"/>
              <w:ind w:right="456"/>
              <w:spacing w:after="0" w:line="174" w:lineRule="exact"/>
              <w:rPr>
                <w:sz w:val="20"/>
                <w:szCs w:val="20"/>
                <w:color w:val="auto"/>
              </w:rPr>
            </w:pPr>
            <w:r>
              <w:rPr>
                <w:rFonts w:ascii="Times New Roman" w:cs="Times New Roman" w:eastAsia="Times New Roman" w:hAnsi="Times New Roman"/>
                <w:sz w:val="17"/>
                <w:szCs w:val="17"/>
                <w:b w:val="1"/>
                <w:bCs w:val="1"/>
                <w:color w:val="auto"/>
              </w:rPr>
              <w:t>RMB</w:t>
            </w:r>
          </w:p>
        </w:tc>
        <w:tc>
          <w:tcPr>
            <w:tcW w:w="320" w:type="dxa"/>
            <w:vAlign w:val="bottom"/>
          </w:tcPr>
          <w:p>
            <w:pPr>
              <w:spacing w:after="0"/>
              <w:rPr>
                <w:sz w:val="15"/>
                <w:szCs w:val="15"/>
                <w:color w:val="auto"/>
              </w:rPr>
            </w:pPr>
          </w:p>
        </w:tc>
        <w:tc>
          <w:tcPr>
            <w:tcW w:w="1440" w:type="dxa"/>
            <w:vAlign w:val="bottom"/>
          </w:tcPr>
          <w:p>
            <w:pPr>
              <w:jc w:val="right"/>
              <w:ind w:right="476"/>
              <w:spacing w:after="0" w:line="174"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5"/>
                <w:szCs w:val="15"/>
                <w:color w:val="auto"/>
              </w:rPr>
            </w:pPr>
          </w:p>
        </w:tc>
      </w:tr>
      <w:tr>
        <w:trPr>
          <w:trHeight w:val="222"/>
        </w:trPr>
        <w:tc>
          <w:tcPr>
            <w:tcW w:w="4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9"/>
              </w:rPr>
              <w:t>(Note2(e))</w:t>
            </w:r>
          </w:p>
        </w:tc>
      </w:tr>
      <w:tr>
        <w:trPr>
          <w:trHeight w:val="20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(89,333)</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62,344</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141,929</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20,297</w:t>
            </w:r>
          </w:p>
        </w:tc>
      </w:tr>
      <w:tr>
        <w:trPr>
          <w:trHeight w:val="20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205,808</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82,341</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85"/>
        </w:trPr>
        <w:tc>
          <w:tcPr>
            <w:tcW w:w="42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Adjustment to reconcile net income to net cash (used in)</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provided by operating activities: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36,941</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28,978</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42,127</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6,024</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Inventory write-down</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9,363</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(10,079)</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390</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7"/>
                <w:szCs w:val="17"/>
                <w:color w:val="auto"/>
              </w:rPr>
            </w:pP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106</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16,450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14,080</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2,013</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Allowance (recovery of allowance) for credit losses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1,242</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(4,359)</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(1,288)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of disposal of property and equipment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1,378</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364</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1,401</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200</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income tax expenses (benefits)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2,044</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(4,773)</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1,363</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195</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 loss (income)</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462</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(50)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10,189</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1,457</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early termination of operating lease</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exchange losses (gains), net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(225)</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2,272</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325</w:t>
            </w: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and notes receivable from third parties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11,677</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18,264</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(321)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 from related parties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(4,370)</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(588,030)</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252,227</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36,068</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13,841</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55,057</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(14,944)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(7,448)</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22,497</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(67,123)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(9,598)</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receivables from related parties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5,217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452,950</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11,034</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1,578</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Amounts due to related parties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1,089</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(2,609)</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(239)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(148,737)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454,697</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(254,273)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(36,361)</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Advances from customers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(7,102)</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(18,296)</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(1,384)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payables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1,124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8,088</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(8,377)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12,667</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8,666</w:t>
            </w: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27,774</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3,972</w:t>
            </w:r>
          </w:p>
        </w:tc>
      </w:tr>
      <w:tr>
        <w:trPr>
          <w:trHeight w:val="214"/>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liabilities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(4,650)</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(1,280)</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(2,155)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194"/>
        </w:trPr>
        <w:tc>
          <w:tcPr>
            <w:tcW w:w="42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Net cash provided by continuing operating activities</w:t>
            </w: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41,319</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580,995</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154,638</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22,115</w:t>
            </w:r>
          </w:p>
        </w:tc>
        <w:tc>
          <w:tcPr>
            <w:tcW w:w="100" w:type="dxa"/>
            <w:vAlign w:val="bottom"/>
          </w:tcPr>
          <w:p>
            <w:pPr>
              <w:spacing w:after="0"/>
              <w:rPr>
                <w:sz w:val="16"/>
                <w:szCs w:val="16"/>
                <w:color w:val="auto"/>
              </w:rPr>
            </w:pPr>
          </w:p>
        </w:tc>
      </w:tr>
      <w:tr>
        <w:trPr>
          <w:trHeight w:val="185"/>
        </w:trPr>
        <w:tc>
          <w:tcPr>
            <w:tcW w:w="42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Net cash (used in) provided by discontinued operating</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activities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(144,547)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135,033</w:t>
            </w:r>
          </w:p>
        </w:tc>
        <w:tc>
          <w:tcPr>
            <w:tcW w:w="3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194"/>
        </w:trPr>
        <w:tc>
          <w:tcPr>
            <w:tcW w:w="42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provided by operating activities</w:t>
            </w: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(103,228</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716,028</w:t>
            </w:r>
          </w:p>
        </w:tc>
        <w:tc>
          <w:tcPr>
            <w:tcW w:w="34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154,638</w:t>
            </w:r>
          </w:p>
        </w:tc>
        <w:tc>
          <w:tcPr>
            <w:tcW w:w="32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22,115</w:t>
            </w:r>
          </w:p>
        </w:tc>
        <w:tc>
          <w:tcPr>
            <w:tcW w:w="100" w:type="dxa"/>
            <w:vAlign w:val="bottom"/>
            <w:tcBorders>
              <w:bottom w:val="single" w:sz="8" w:color="CCEEFF"/>
            </w:tcBorders>
          </w:tcPr>
          <w:p>
            <w:pPr>
              <w:spacing w:after="0"/>
              <w:rPr>
                <w:sz w:val="16"/>
                <w:szCs w:val="16"/>
                <w:color w:val="auto"/>
              </w:rPr>
            </w:pPr>
          </w:p>
        </w:tc>
      </w:tr>
      <w:tr>
        <w:trPr>
          <w:trHeight w:val="194"/>
        </w:trPr>
        <w:tc>
          <w:tcPr>
            <w:tcW w:w="4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 of equipment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(103,372)</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(28,606)</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(41,164)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(5,886)</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 of lease hold improvement</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(415)</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(928)</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(175)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(653)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(330)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(39,694)</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(87,430)</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(215,416)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(30,804)</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Maturity of short-term investments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28,973</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34,241</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193,291</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27,640</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Disposal of property and equipment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898</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416</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420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7"/>
                <w:szCs w:val="17"/>
                <w:color w:val="auto"/>
              </w:rPr>
            </w:pP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Placement of long-term investments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Placement of long-term deposits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(170,000)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(24,310)</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Maturities of long-term deposits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150,000</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21,450</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Placement of short-term deposits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(176,686)</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(406,828)</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(847,737)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(121,225)</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Maturities of short-term deposits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470,459</w:t>
            </w:r>
          </w:p>
        </w:tc>
        <w:tc>
          <w:tcPr>
            <w:tcW w:w="340" w:type="dxa"/>
            <w:vAlign w:val="bottom"/>
          </w:tcPr>
          <w:p>
            <w:pPr>
              <w:spacing w:after="0"/>
              <w:rPr>
                <w:sz w:val="17"/>
                <w:szCs w:val="17"/>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702,247</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100,420</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receipt from disposals of discontinued operations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65,000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85"/>
        </w:trPr>
        <w:tc>
          <w:tcPr>
            <w:tcW w:w="4280" w:type="dxa"/>
            <w:vAlign w:val="bottom"/>
          </w:tcPr>
          <w:p>
            <w:pPr>
              <w:ind w:left="160"/>
              <w:spacing w:after="0" w:line="185" w:lineRule="exact"/>
              <w:rPr>
                <w:sz w:val="20"/>
                <w:szCs w:val="20"/>
                <w:color w:val="auto"/>
              </w:rPr>
            </w:pPr>
            <w:r>
              <w:rPr>
                <w:rFonts w:ascii="Times New Roman" w:cs="Times New Roman" w:eastAsia="Times New Roman" w:hAnsi="Times New Roman"/>
                <w:sz w:val="17"/>
                <w:szCs w:val="17"/>
                <w:color w:val="auto"/>
              </w:rPr>
              <w:t>Cashout due to the unconsolidated of discontinued</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operations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(348,136)</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19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continuing investing activities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(290,949)</w:t>
            </w:r>
          </w:p>
        </w:tc>
        <w:tc>
          <w:tcPr>
            <w:tcW w:w="3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(301,812)</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(232,864)</w:t>
            </w: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(33,299)</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discontinued investing activities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92,023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136,918</w:t>
            </w:r>
          </w:p>
        </w:tc>
        <w:tc>
          <w:tcPr>
            <w:tcW w:w="340" w:type="dxa"/>
            <w:vAlign w:val="bottom"/>
          </w:tcPr>
          <w:p>
            <w:pPr>
              <w:spacing w:after="0"/>
              <w:rPr>
                <w:sz w:val="18"/>
                <w:szCs w:val="18"/>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94"/>
        </w:trPr>
        <w:tc>
          <w:tcPr>
            <w:tcW w:w="42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(198,926</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(164,894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(232,864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(33,299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42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exercise of vested share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110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344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7"/>
                <w:szCs w:val="17"/>
                <w:color w:val="auto"/>
              </w:rPr>
            </w:pP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Receipt of borrowing</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49,091</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58,513</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41,118</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5,880</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Repayment of borrowing</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(27,128)</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(59,998)</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(79,636)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(11,388)</w:t>
            </w: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Dividend Paid</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(41,959)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 of non-controlling interests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(7,728)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185"/>
        </w:trPr>
        <w:tc>
          <w:tcPr>
            <w:tcW w:w="4280" w:type="dxa"/>
            <w:vAlign w:val="bottom"/>
          </w:tcPr>
          <w:p>
            <w:pPr>
              <w:ind w:left="160"/>
              <w:spacing w:after="0" w:line="185" w:lineRule="exact"/>
              <w:rPr>
                <w:sz w:val="20"/>
                <w:szCs w:val="20"/>
                <w:color w:val="auto"/>
              </w:rPr>
            </w:pPr>
            <w:r>
              <w:rPr>
                <w:rFonts w:ascii="Times New Roman" w:cs="Times New Roman" w:eastAsia="Times New Roman" w:hAnsi="Times New Roman"/>
                <w:sz w:val="17"/>
                <w:szCs w:val="17"/>
                <w:color w:val="auto"/>
              </w:rPr>
              <w:t>Capital injection in subsidiaries from an investor or a</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non-controlling shareholder</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115</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40" w:type="dxa"/>
            <w:vAlign w:val="bottom"/>
          </w:tcPr>
          <w:p>
            <w:pPr>
              <w:spacing w:after="0"/>
              <w:rPr>
                <w:sz w:val="18"/>
                <w:szCs w:val="18"/>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15"/>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(6,440)</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(4,283)</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(17,659)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w:t>
            </w:r>
          </w:p>
        </w:tc>
      </w:tr>
      <w:tr>
        <w:trPr>
          <w:trHeight w:val="165"/>
        </w:trPr>
        <w:tc>
          <w:tcPr>
            <w:tcW w:w="428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Net cash provided by (used in) continuing financing</w:t>
            </w:r>
          </w:p>
        </w:tc>
        <w:tc>
          <w:tcPr>
            <w:tcW w:w="14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8"/>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activities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15,657</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(4,658)</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(105,520)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(15,089)</w:t>
            </w:r>
          </w:p>
        </w:tc>
      </w:tr>
      <w:tr>
        <w:trPr>
          <w:trHeight w:val="186"/>
        </w:trPr>
        <w:tc>
          <w:tcPr>
            <w:tcW w:w="42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Net cash provided by (used in) discontinued financing</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activities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100,000</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(30,000)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r>
      <w:tr>
        <w:trPr>
          <w:trHeight w:val="194"/>
        </w:trPr>
        <w:tc>
          <w:tcPr>
            <w:tcW w:w="42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115,657</w:t>
            </w:r>
          </w:p>
        </w:tc>
        <w:tc>
          <w:tcPr>
            <w:tcW w:w="34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(34,658</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(105,520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(15,089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65"/>
        </w:trPr>
        <w:tc>
          <w:tcPr>
            <w:tcW w:w="42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Effect of exchange rate changes on cash and cash</w:t>
            </w: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equivalents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9,643</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14,649</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(12,704)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r>
      <w:tr>
        <w:trPr>
          <w:trHeight w:val="185"/>
        </w:trPr>
        <w:tc>
          <w:tcPr>
            <w:tcW w:w="42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Net (decrease) increase in cash and cash equivalents and</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(176,854)</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531,125</w:t>
            </w:r>
          </w:p>
        </w:tc>
        <w:tc>
          <w:tcPr>
            <w:tcW w:w="340" w:type="dxa"/>
            <w:vAlign w:val="bottom"/>
          </w:tcPr>
          <w:p>
            <w:pPr>
              <w:spacing w:after="0"/>
              <w:rPr>
                <w:sz w:val="18"/>
                <w:szCs w:val="18"/>
                <w:color w:val="auto"/>
              </w:rPr>
            </w:pP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(196,450)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(28,092)</w:t>
            </w:r>
          </w:p>
        </w:tc>
      </w:tr>
      <w:tr>
        <w:trPr>
          <w:trHeight w:val="186"/>
        </w:trPr>
        <w:tc>
          <w:tcPr>
            <w:tcW w:w="42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Cash and cash equivalents and restricted cash at the</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of the year</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813,209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636,355</w:t>
            </w:r>
          </w:p>
        </w:tc>
        <w:tc>
          <w:tcPr>
            <w:tcW w:w="3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1,167,480</w:t>
            </w: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166,947</w:t>
            </w:r>
          </w:p>
        </w:tc>
      </w:tr>
      <w:tr>
        <w:trPr>
          <w:trHeight w:val="161"/>
        </w:trPr>
        <w:tc>
          <w:tcPr>
            <w:tcW w:w="4280" w:type="dxa"/>
            <w:vAlign w:val="bottom"/>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the end</w:t>
            </w:r>
          </w:p>
        </w:tc>
        <w:tc>
          <w:tcPr>
            <w:tcW w:w="14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of the year</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636,355</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1,167,480</w:t>
            </w:r>
          </w:p>
        </w:tc>
        <w:tc>
          <w:tcPr>
            <w:tcW w:w="340" w:type="dxa"/>
            <w:vAlign w:val="bottom"/>
          </w:tcPr>
          <w:p>
            <w:pPr>
              <w:spacing w:after="0"/>
              <w:rPr>
                <w:sz w:val="19"/>
                <w:szCs w:val="19"/>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b w:val="1"/>
                <w:bCs w:val="1"/>
                <w:color w:val="auto"/>
              </w:rPr>
              <w:t>971,030</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138,855</w:t>
            </w:r>
          </w:p>
        </w:tc>
      </w:tr>
      <w:tr>
        <w:trPr>
          <w:trHeight w:val="94"/>
        </w:trPr>
        <w:tc>
          <w:tcPr>
            <w:tcW w:w="42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224" w:right="339" w:bottom="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cash, cash equivalents and restricted cash held for</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at end of the year</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vMerge w:val="restart"/>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 of continuing</w:t>
            </w:r>
          </w:p>
        </w:tc>
        <w:tc>
          <w:tcPr>
            <w:tcW w:w="120" w:type="dxa"/>
            <w:vAlign w:val="bottom"/>
            <w:tcBorders>
              <w:bottom w:val="single" w:sz="8" w:color="auto"/>
            </w:tcBorders>
            <w:shd w:val="clear" w:color="auto" w:fill="CCEEFF"/>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operations, end of the year</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225,327</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1,167,480</w:t>
            </w:r>
          </w:p>
        </w:tc>
        <w:tc>
          <w:tcPr>
            <w:tcW w:w="120" w:type="dxa"/>
            <w:vAlign w:val="bottom"/>
          </w:tcPr>
          <w:p>
            <w:pPr>
              <w:spacing w:after="0"/>
              <w:rPr>
                <w:sz w:val="20"/>
                <w:szCs w:val="20"/>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971,030</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138,855</w:t>
            </w:r>
          </w:p>
        </w:tc>
        <w:tc>
          <w:tcPr>
            <w:tcW w:w="0" w:type="dxa"/>
            <w:vAlign w:val="bottom"/>
          </w:tcPr>
          <w:p>
            <w:pPr>
              <w:spacing w:after="0"/>
              <w:rPr>
                <w:sz w:val="1"/>
                <w:szCs w:val="1"/>
                <w:color w:val="auto"/>
              </w:rPr>
            </w:pPr>
          </w:p>
        </w:tc>
      </w:tr>
      <w:tr>
        <w:trPr>
          <w:trHeight w:val="195"/>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Including:</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80" w:type="dxa"/>
            <w:vAlign w:val="bottom"/>
          </w:tcPr>
          <w:p>
            <w:pPr>
              <w:ind w:left="160"/>
              <w:spacing w:after="0" w:line="185" w:lineRule="exact"/>
              <w:rPr>
                <w:sz w:val="20"/>
                <w:szCs w:val="20"/>
                <w:color w:val="auto"/>
              </w:rPr>
            </w:pPr>
            <w:r>
              <w:rPr>
                <w:rFonts w:ascii="Times New Roman" w:cs="Times New Roman" w:eastAsia="Times New Roman" w:hAnsi="Times New Roman"/>
                <w:sz w:val="17"/>
                <w:szCs w:val="17"/>
                <w:color w:val="auto"/>
              </w:rPr>
              <w:t>Cash and cash equivalents of continuing operations at the</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end of the year</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206,405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1,026,188</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806,599</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115,342</w:t>
            </w:r>
          </w:p>
        </w:tc>
        <w:tc>
          <w:tcPr>
            <w:tcW w:w="0" w:type="dxa"/>
            <w:vAlign w:val="bottom"/>
          </w:tcPr>
          <w:p>
            <w:pPr>
              <w:spacing w:after="0"/>
              <w:rPr>
                <w:sz w:val="1"/>
                <w:szCs w:val="1"/>
                <w:color w:val="auto"/>
              </w:rPr>
            </w:pPr>
          </w:p>
        </w:tc>
      </w:tr>
      <w:tr>
        <w:trPr>
          <w:trHeight w:val="185"/>
        </w:trPr>
        <w:tc>
          <w:tcPr>
            <w:tcW w:w="4280" w:type="dxa"/>
            <w:vAlign w:val="bottom"/>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Restricted cash of continuing operations at the end of the</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year</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18,922</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141,292</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164,431</w:t>
            </w:r>
          </w:p>
        </w:tc>
        <w:tc>
          <w:tcPr>
            <w:tcW w:w="1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23,513</w:t>
            </w:r>
          </w:p>
        </w:tc>
        <w:tc>
          <w:tcPr>
            <w:tcW w:w="0" w:type="dxa"/>
            <w:vAlign w:val="bottom"/>
          </w:tcPr>
          <w:p>
            <w:pPr>
              <w:spacing w:after="0"/>
              <w:rPr>
                <w:sz w:val="1"/>
                <w:szCs w:val="1"/>
                <w:color w:val="auto"/>
              </w:rPr>
            </w:pP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paid for income tax, net</w:t>
            </w:r>
          </w:p>
        </w:tc>
        <w:tc>
          <w:tcPr>
            <w:tcW w:w="1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(187)</w:t>
            </w:r>
          </w:p>
        </w:tc>
        <w:tc>
          <w:tcPr>
            <w:tcW w:w="1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(2,226)</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(20,657)</w:t>
            </w:r>
          </w:p>
        </w:tc>
        <w:tc>
          <w:tcPr>
            <w:tcW w:w="1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(2,954)</w:t>
            </w:r>
          </w:p>
        </w:tc>
        <w:tc>
          <w:tcPr>
            <w:tcW w:w="0" w:type="dxa"/>
            <w:vAlign w:val="bottom"/>
          </w:tcPr>
          <w:p>
            <w:pPr>
              <w:spacing w:after="0"/>
              <w:rPr>
                <w:sz w:val="1"/>
                <w:szCs w:val="1"/>
                <w:color w:val="auto"/>
              </w:rPr>
            </w:pPr>
          </w:p>
        </w:tc>
      </w:tr>
      <w:tr>
        <w:trPr>
          <w:trHeight w:val="202"/>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interest expense</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(5,644)</w:t>
            </w:r>
          </w:p>
        </w:tc>
        <w:tc>
          <w:tcPr>
            <w:tcW w:w="18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(5,734)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(5,968)</w:t>
            </w:r>
          </w:p>
        </w:tc>
        <w:tc>
          <w:tcPr>
            <w:tcW w:w="1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(853)</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Acquisition of equipment in form of other payable</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50,158</w:t>
            </w:r>
          </w:p>
        </w:tc>
        <w:tc>
          <w:tcPr>
            <w:tcW w:w="1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40,183</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2,624</w:t>
            </w:r>
          </w:p>
        </w:tc>
        <w:tc>
          <w:tcPr>
            <w:tcW w:w="1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185"/>
        </w:trPr>
        <w:tc>
          <w:tcPr>
            <w:tcW w:w="4280" w:type="dxa"/>
            <w:vAlign w:val="bottom"/>
          </w:tcPr>
          <w:p>
            <w:pPr>
              <w:ind w:left="160"/>
              <w:spacing w:after="0" w:line="185" w:lineRule="exact"/>
              <w:rPr>
                <w:sz w:val="20"/>
                <w:szCs w:val="20"/>
                <w:color w:val="auto"/>
              </w:rPr>
            </w:pPr>
            <w:r>
              <w:rPr>
                <w:rFonts w:ascii="Times New Roman" w:cs="Times New Roman" w:eastAsia="Times New Roman" w:hAnsi="Times New Roman"/>
                <w:sz w:val="17"/>
                <w:szCs w:val="17"/>
                <w:color w:val="auto"/>
              </w:rPr>
              <w:t>Obtaining a right-of-use asset in exchange for a lease</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1,006</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85"/>
        </w:trPr>
        <w:tc>
          <w:tcPr>
            <w:tcW w:w="4280" w:type="dxa"/>
            <w:vAlign w:val="bottom"/>
            <w:shd w:val="clear" w:color="auto" w:fill="CCEEFF"/>
          </w:tcPr>
          <w:p>
            <w:pPr>
              <w:ind w:left="160"/>
              <w:spacing w:after="0" w:line="185" w:lineRule="exact"/>
              <w:rPr>
                <w:sz w:val="20"/>
                <w:szCs w:val="20"/>
                <w:color w:val="auto"/>
              </w:rPr>
            </w:pPr>
            <w:r>
              <w:rPr>
                <w:rFonts w:ascii="Times New Roman" w:cs="Times New Roman" w:eastAsia="Times New Roman" w:hAnsi="Times New Roman"/>
                <w:sz w:val="17"/>
                <w:szCs w:val="17"/>
                <w:color w:val="auto"/>
              </w:rPr>
              <w:t>Decrease in a right-of-use asset due to remeasurement of</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terms</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896</w:t>
            </w:r>
          </w:p>
        </w:tc>
        <w:tc>
          <w:tcPr>
            <w:tcW w:w="1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-1936750</wp:posOffset>
            </wp:positionV>
            <wp:extent cx="7141210" cy="264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41210" cy="2641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w:t>
      </w:r>
    </w:p>
    <w:p>
      <w:pPr>
        <w:spacing w:after="0" w:line="208" w:lineRule="exact"/>
        <w:rPr>
          <w:sz w:val="20"/>
          <w:szCs w:val="20"/>
          <w:color w:val="auto"/>
        </w:rPr>
      </w:pPr>
    </w:p>
    <w:p>
      <w:pPr>
        <w:ind w:left="600" w:hanging="599"/>
        <w:spacing w:after="0"/>
        <w:tabs>
          <w:tab w:leader="none" w:pos="600" w:val="left"/>
        </w:tabs>
        <w:numPr>
          <w:ilvl w:val="0"/>
          <w:numId w:val="8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Principal activities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Viomi Technology Co., Ltd (the “Company”) is a holding company incorporated under the Laws of the Cayman Islands in January 2015. The Company, through its consolidated subsidiaries and “VIEs” (collectively referred to as the “Group”) is primarily engaged in the operation of developing and selling Home water solution businesses products in the People’s Republic of China (the “PRC”).</w:t>
      </w:r>
    </w:p>
    <w:p>
      <w:pPr>
        <w:spacing w:after="0" w:line="165"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8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History and Reorganization</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commenced its operations in May 2014 through Foshan Yunmi Electric Appliances Technology Co., Ltd. (“Foshan Viomi”), a PRC company established by Mr. Chen Xiaoping (“Mr. Chen” or the “Founder”), and Tianjin Jinxing Investment Co., Ltd. (“Tianjin Jinxing”), a subsidiary of Xiaomi Corporation (“Xiaomi”, also referring to entities controlled by Xiaomi Corporation where appropriate), who is an investor of the Company. Mr. Chen and Tianjin Jinxing invested RMB7,500 and RMB5,000 to establish Foshan Viomi and held 60% and 40% initial equity interests, respectively. Included in the RMB7,500 invested by Mr. Chen, RMB2,500 was invested by certain key management founders and held by Mr. Chen on their behalf (The key management founders, together with Mr. Chen are referred to “the Founders”). The Group has undertaken its reorganization (“Reorganization”) covering below major steps:</w:t>
      </w:r>
    </w:p>
    <w:p>
      <w:pPr>
        <w:spacing w:after="0" w:line="177" w:lineRule="exact"/>
        <w:rPr>
          <w:rFonts w:ascii="Times New Roman" w:cs="Times New Roman" w:eastAsia="Times New Roman" w:hAnsi="Times New Roman"/>
          <w:sz w:val="17"/>
          <w:szCs w:val="17"/>
          <w:b w:val="1"/>
          <w:bCs w:val="1"/>
          <w:i w:val="1"/>
          <w:iCs w:val="1"/>
          <w:color w:val="auto"/>
        </w:rPr>
      </w:pPr>
    </w:p>
    <w:p>
      <w:pPr>
        <w:ind w:left="900" w:hanging="294"/>
        <w:spacing w:after="0"/>
        <w:tabs>
          <w:tab w:leader="none" w:pos="9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Incorporation of the Company in the Cayman Island in January 2015;</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Incorporation of Viomi HK Technology Co., Limited (“Viomi HK”) in Hong Kong as a wholly owned subsidiary of the Company in January 2015;</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Beijing Yunmi Technology Co., Ltd. (“Beijing Viomi”) as a domestic company in January 2015;</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Incorporation of Lequan Technology Beijing Co., Ltd (“Lequan”) as a wholly owned subsidiary of Viomi HK in the PRC in May 2015;</w:t>
      </w:r>
    </w:p>
    <w:p>
      <w:pPr>
        <w:spacing w:after="0" w:line="6"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Obtainment of the interest of Foshan Viomi through share issuance of the Company to Mr.Chen for the interest held by Mr.Chen and key management founders and share issuance of the Company to Red Better Limited (“Red Better”), a subsidiary of Xiaomi, and Shunwei Talent Limited (“Shunwei”) for the interest held by Tianjin Jinxing in July 2015;</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Realization of the Company’s control over Foshan Viomi and Beijing Viomi through Lequan by entering into a series of contractual arrangements with Foshan Viomi, Beijing Viomi and their shareholders as detailed in note 1(c) in July 2015;</w:t>
      </w:r>
    </w:p>
    <w:p>
      <w:pPr>
        <w:spacing w:after="0" w:line="174" w:lineRule="exact"/>
        <w:rPr>
          <w:sz w:val="20"/>
          <w:szCs w:val="20"/>
          <w:color w:val="auto"/>
        </w:rPr>
      </w:pPr>
    </w:p>
    <w:p>
      <w:pPr>
        <w:ind w:left="600"/>
        <w:spacing w:after="0" w:line="307" w:lineRule="auto"/>
        <w:rPr>
          <w:sz w:val="20"/>
          <w:szCs w:val="20"/>
          <w:color w:val="auto"/>
        </w:rPr>
      </w:pPr>
      <w:r>
        <w:rPr>
          <w:rFonts w:ascii="Times New Roman" w:cs="Times New Roman" w:eastAsia="Times New Roman" w:hAnsi="Times New Roman"/>
          <w:sz w:val="16"/>
          <w:szCs w:val="16"/>
          <w:color w:val="auto"/>
        </w:rPr>
        <w:t>The Reorganization was effectively accounted for as a recapitalization since the Company together with its subsidiaries and VIEs were effectively controlled by the same shareholders. On September 25, 2018, the Company completed its IPO on the NASDAQ Global Market in the United States of America.</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hanging="599"/>
        <w:spacing w:after="0"/>
        <w:tabs>
          <w:tab w:leader="none" w:pos="600" w:val="left"/>
        </w:tabs>
        <w:numPr>
          <w:ilvl w:val="0"/>
          <w:numId w:val="9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History and Reorganization (Continued)</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December 2019, the Company established Yunmi Hulian Technology (Guangdong) Co., Ltd. (“Yunmi Hulian”) as a wholly owned subsidiary of Viomi HK to act as a holding company for future business and investment opportunities.</w:t>
      </w:r>
    </w:p>
    <w:p>
      <w:pPr>
        <w:spacing w:after="0" w:line="158"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October 2020, Codream HK Co., Limited (Hong Kong) (“Codream HK”), one of the Company’s subsidiaries, established Zhumeng Hulian Technology (Guangdong) Co. Ltd. (“Zhumeng Hulian”) as a wholly owned subsidiary of the Company.</w:t>
      </w:r>
    </w:p>
    <w:p>
      <w:pPr>
        <w:spacing w:after="0" w:line="158" w:lineRule="exact"/>
        <w:rPr>
          <w:rFonts w:ascii="Times New Roman" w:cs="Times New Roman" w:eastAsia="Times New Roman" w:hAnsi="Times New Roman"/>
          <w:sz w:val="17"/>
          <w:szCs w:val="17"/>
          <w:b w:val="1"/>
          <w:bCs w:val="1"/>
          <w:i w:val="1"/>
          <w:iCs w:val="1"/>
          <w:color w:val="auto"/>
        </w:rPr>
      </w:pPr>
    </w:p>
    <w:p>
      <w:pPr>
        <w:jc w:val="both"/>
        <w:ind w:left="60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November 2020, the Group entered into an agreement with Sunglow Wealth HK Limited (“Sunglow”) to sell 1% of equity interests of Guangdong Lizi Technology Co. Ltd. (“Guangdong Lizi”) for a consideration of RMB175. Meanwhile, Foshan Viomi transferred all of its equity interests of Guangdong Lizi to Zhumeng Hulian. Sunglow has paid up the consideration in December 2021 but is not entitled to any shareholder’s rights of Guangdong Lizi until the fulfilment of certain conditions pursuant to the supplemental agreement in November 2021. The Group therefore did not recognize Sunglow as a non-controlling interest of Guangdong Lizi as of December 31, 2021. The conditions had not been fulfilled by December 31, 2024 and therefore the Group did not recognize Sunglow as a non-controlling interest of Guangdong Lizi as of December 31, 2024. During the year ended December 31, 2025, Sunglow exited the arrangement.</w:t>
      </w:r>
    </w:p>
    <w:p>
      <w:pPr>
        <w:spacing w:after="0" w:line="177"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On July 19, 2024, to implement its “Focus” strategy for Home water solution businesses, the Group entered into definitive agreements with Mr. Chen, and an entity controlled by Mr. Chen, to divest the Group’s businesses and assets involving certain Internet-of-things-enabled (“IoT-enabled”) smart home portfolio products for a total consideration of RMB65,000 in cash (the “Disposal”). The Disposal was approved by a special committee of the board of directors of the Group on the same day.</w:t>
      </w:r>
    </w:p>
    <w:p>
      <w:pPr>
        <w:spacing w:after="0" w:line="174"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sale of the IoT@Home portfolio products (excluding range hoods, gas stoves, and water heaters) to Mr. Chen was affected through termination, at closing, of the existing VIE contractual arrangements between Yunmi Hulian and Foshan Viomi, which resulted in Foshan Viomi’s shareholder, Mr. Chen, fully controlling Foshan Viomi and its subsidiaries. As part of a pre-closing reorganization, Zhumeng Hulian and Guangdong Interconnect Technology Co., Ltd. (“Guangdong Interconnect”), formerly named as Guangzhou Interconnect Technology Co., Ltd., entered into a new set of VIE contractual arrangements, as a result of which the Group is considered the primary beneficiaries of Guangdong Interconnect and consolidates its financial results of operations, assets and liabilities in the Group’s consolidated financial statements. The transaction was closed on August 31, 2024.</w:t>
      </w:r>
    </w:p>
    <w:p>
      <w:pPr>
        <w:spacing w:after="0" w:line="175" w:lineRule="exact"/>
        <w:rPr>
          <w:rFonts w:ascii="Times New Roman" w:cs="Times New Roman" w:eastAsia="Times New Roman" w:hAnsi="Times New Roman"/>
          <w:sz w:val="17"/>
          <w:szCs w:val="17"/>
          <w:b w:val="1"/>
          <w:bCs w:val="1"/>
          <w:i w:val="1"/>
          <w:iCs w:val="1"/>
          <w:color w:val="auto"/>
        </w:rPr>
      </w:pPr>
    </w:p>
    <w:p>
      <w:pPr>
        <w:ind w:left="6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 of December 31, 2025, details of the Company’s principal subsidiaries and VIEs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Percentage</w:t>
            </w:r>
          </w:p>
        </w:tc>
        <w:tc>
          <w:tcPr>
            <w:tcW w:w="2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Place of</w:t>
            </w: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of beneficial</w:t>
            </w:r>
          </w:p>
        </w:tc>
        <w:tc>
          <w:tcPr>
            <w:tcW w:w="2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6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incorporation</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incorporation</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ownership</w:t>
            </w:r>
          </w:p>
        </w:tc>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Principal activities</w:t>
            </w:r>
          </w:p>
        </w:tc>
      </w:tr>
      <w:tr>
        <w:trPr>
          <w:trHeight w:val="195"/>
        </w:trPr>
        <w:tc>
          <w:tcPr>
            <w:tcW w:w="600" w:type="dxa"/>
            <w:vAlign w:val="bottom"/>
          </w:tcPr>
          <w:p>
            <w:pPr>
              <w:spacing w:after="0"/>
              <w:rPr>
                <w:sz w:val="16"/>
                <w:szCs w:val="16"/>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Subsidiaries:</w:t>
            </w:r>
          </w:p>
        </w:tc>
        <w:tc>
          <w:tcPr>
            <w:tcW w:w="12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60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Viomi HK</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Hong Kong</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January 30, 2015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Investment holding</w:t>
            </w: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Lequan</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PRC</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May 05, 2015</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Investment holding</w:t>
            </w: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Codream HK</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Hong Kong</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August 20, 2019</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Investment holding</w:t>
            </w: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Yunmi Hulian</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PRC</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December 9, 2019</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Investment holding</w:t>
            </w: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Zhumeng Hulian</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PRC</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October 14, 2020</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Investment holding</w:t>
            </w:r>
          </w:p>
        </w:tc>
        <w:tc>
          <w:tcPr>
            <w:tcW w:w="860" w:type="dxa"/>
            <w:vAlign w:val="bottom"/>
          </w:tcPr>
          <w:p>
            <w:pPr>
              <w:spacing w:after="0"/>
              <w:rPr>
                <w:sz w:val="17"/>
                <w:szCs w:val="17"/>
                <w:color w:val="auto"/>
              </w:rPr>
            </w:pPr>
          </w:p>
        </w:tc>
      </w:tr>
      <w:tr>
        <w:trPr>
          <w:trHeight w:val="185"/>
        </w:trPr>
        <w:tc>
          <w:tcPr>
            <w:tcW w:w="600" w:type="dxa"/>
            <w:vAlign w:val="bottom"/>
          </w:tcPr>
          <w:p>
            <w:pPr>
              <w:spacing w:after="0"/>
              <w:rPr>
                <w:sz w:val="16"/>
                <w:szCs w:val="16"/>
                <w:color w:val="auto"/>
              </w:rPr>
            </w:pPr>
          </w:p>
        </w:tc>
        <w:tc>
          <w:tcPr>
            <w:tcW w:w="27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Guangdong Lizi</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Home appliance development</w:t>
            </w:r>
          </w:p>
        </w:tc>
        <w:tc>
          <w:tcPr>
            <w:tcW w:w="860" w:type="dxa"/>
            <w:vAlign w:val="bottom"/>
          </w:tcPr>
          <w:p>
            <w:pPr>
              <w:spacing w:after="0"/>
              <w:rPr>
                <w:sz w:val="16"/>
                <w:szCs w:val="16"/>
                <w:color w:val="auto"/>
              </w:rPr>
            </w:pPr>
          </w:p>
        </w:tc>
      </w:tr>
      <w:tr>
        <w:trPr>
          <w:trHeight w:val="218"/>
        </w:trPr>
        <w:tc>
          <w:tcPr>
            <w:tcW w:w="60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PRC</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July 26, 2018</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and sales</w:t>
            </w:r>
          </w:p>
        </w:tc>
        <w:tc>
          <w:tcPr>
            <w:tcW w:w="860" w:type="dxa"/>
            <w:vAlign w:val="bottom"/>
          </w:tcPr>
          <w:p>
            <w:pPr>
              <w:spacing w:after="0"/>
              <w:rPr>
                <w:sz w:val="18"/>
                <w:szCs w:val="18"/>
                <w:color w:val="auto"/>
              </w:rPr>
            </w:pPr>
          </w:p>
        </w:tc>
      </w:tr>
      <w:tr>
        <w:trPr>
          <w:trHeight w:val="202"/>
        </w:trPr>
        <w:tc>
          <w:tcPr>
            <w:tcW w:w="60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VIEs: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Guangdong Interconnect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PRC</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December 7, 2020</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Internet information services</w:t>
            </w:r>
          </w:p>
        </w:tc>
        <w:tc>
          <w:tcPr>
            <w:tcW w:w="860" w:type="dxa"/>
            <w:vAlign w:val="bottom"/>
          </w:tcPr>
          <w:p>
            <w:pPr>
              <w:spacing w:after="0"/>
              <w:rPr>
                <w:sz w:val="17"/>
                <w:szCs w:val="17"/>
                <w:color w:val="auto"/>
              </w:rPr>
            </w:pPr>
          </w:p>
        </w:tc>
      </w:tr>
      <w:tr>
        <w:trPr>
          <w:trHeight w:val="218"/>
        </w:trPr>
        <w:tc>
          <w:tcPr>
            <w:tcW w:w="6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Beijing Viomi</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PRC</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January 12, 2015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 substantial business</w:t>
            </w:r>
          </w:p>
        </w:tc>
        <w:tc>
          <w:tcPr>
            <w:tcW w:w="860" w:type="dxa"/>
            <w:vAlign w:val="bottom"/>
          </w:tcPr>
          <w:p>
            <w:pPr>
              <w:spacing w:after="0"/>
              <w:rPr>
                <w:sz w:val="18"/>
                <w:szCs w:val="18"/>
                <w:color w:val="auto"/>
              </w:rPr>
            </w:pPr>
          </w:p>
        </w:tc>
      </w:tr>
      <w:tr>
        <w:trPr>
          <w:trHeight w:val="387"/>
        </w:trPr>
        <w:tc>
          <w:tcPr>
            <w:tcW w:w="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F-8</w:t>
            </w: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hanging="599"/>
        <w:spacing w:after="0"/>
        <w:tabs>
          <w:tab w:leader="none" w:pos="600" w:val="left"/>
        </w:tabs>
        <w:numPr>
          <w:ilvl w:val="0"/>
          <w:numId w:val="9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VIE Arrangements between the VIEs and the Company’s PRC subsidiaries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7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color w:val="auto"/>
        </w:rPr>
        <w:t>The Company, through Lequan or Zhumeng Hulian, entered into the following contractual arrangements with Beijing Viomi, Guangdong Interconnect and their shareholders, respectively, that enable Lequan or Zhumeng Hulian through their PRC subsidiaries to (1) have power to direct the activities that most significantly affects the economic performance of the VIEs, through the exercise of the shareholders’ rights under the shareholder voting proxy agreement as the shareholders’ meetings of the VIEs appoint the board of directors of the VIEs, and (2) receive the economic benefits of the VIEs that could be significant to the VIEs through the exclusive consultation and service agreement. Accordingly, Lequan or Zhumeng Hulian are considered the primary beneficiaries of the VIEs and have consolidated the VIEs’ financial results of operations, assets and liabilities in the Company’s consolidated financial statements.</w:t>
      </w:r>
    </w:p>
    <w:p>
      <w:pPr>
        <w:spacing w:after="0" w:line="165"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making the conclusion that Lequan or Zhumeng Hulian are the primary beneficiaries of the VIEs, the Company believes Lequan or Zhumeng Hulian’s rights under the terms of the option agreement provide them with a substantive kick-out right. As advised by the Company’s PRC legal counsel, the Company believes the terms of the option agreement are valid, binding and enforceable under PRC laws and regulations currently in effect. The Company also believes that the consideration which is the minimum amount permitted by the applicable PRC law to exercise the option does not represent a financial barrier or disincentive for Lequan or Zhumeng Hulian to currently exercise their rights under the exclusive option agreement.</w:t>
      </w:r>
    </w:p>
    <w:p>
      <w:pPr>
        <w:spacing w:after="0" w:line="175" w:lineRule="exact"/>
        <w:rPr>
          <w:rFonts w:ascii="Times New Roman" w:cs="Times New Roman" w:eastAsia="Times New Roman" w:hAnsi="Times New Roman"/>
          <w:sz w:val="17"/>
          <w:szCs w:val="17"/>
          <w:b w:val="1"/>
          <w:bCs w:val="1"/>
          <w:i w:val="1"/>
          <w:iCs w:val="1"/>
          <w:color w:val="auto"/>
        </w:rPr>
      </w:pPr>
    </w:p>
    <w:p>
      <w:pPr>
        <w:jc w:val="both"/>
        <w:ind w:left="60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 simple majority vote of Lequan or Zhumeng Hulian’s board of directors is required to pass a resolution to exercise their rights under the option agreement. Lequan or Zhumeng Hulian’s rights under the option agreement give them the power to control the shareholders of Beijing Viomi and Guangdong Interconnect In addition, Lequan or Zhumeng Hulian’s rights under the shareholder voting proxy agreement also reinforce their abilities to direct the activities that most significantly impact the VIEs’ economic performance. The Company also believes that this ability to exercise control ensures that the VIEs will continue to execute consultation and service agreements and also ensures that consultation and service agreements will be executed and renewed indefinitely unless a written agreement is signed by all parties to terminate it or a mandatory termination is requested by PRC laws or regulations. Lequan and Zhumeng Hulian have the rights to receive substantially all of the economic benefits from the VIEs.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right="4560" w:hanging="599"/>
        <w:spacing w:after="0" w:line="497" w:lineRule="auto"/>
        <w:tabs>
          <w:tab w:leader="none" w:pos="600" w:val="left"/>
        </w:tabs>
        <w:numPr>
          <w:ilvl w:val="0"/>
          <w:numId w:val="9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VIE Arrangements between the VIEs and the Company’s PRC subsidiaries (Continued) Exclusive consultation and service agreement</w:t>
      </w:r>
    </w:p>
    <w:p>
      <w:pPr>
        <w:spacing w:after="0" w:line="1" w:lineRule="exact"/>
        <w:rPr>
          <w:rFonts w:ascii="Times New Roman" w:cs="Times New Roman" w:eastAsia="Times New Roman" w:hAnsi="Times New Roman"/>
          <w:sz w:val="17"/>
          <w:szCs w:val="17"/>
          <w:b w:val="1"/>
          <w:bCs w:val="1"/>
          <w:i w:val="1"/>
          <w:iCs w:val="1"/>
          <w:color w:val="auto"/>
        </w:rPr>
      </w:pPr>
    </w:p>
    <w:p>
      <w:pPr>
        <w:jc w:val="both"/>
        <w:ind w:left="600"/>
        <w:spacing w:after="0" w:line="25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July 2015, Lequan entered into exclusive consultation and service agreements, with Foshan Viomi and Beijing Viomi respectively to enable Lequan to receive substantially all of the economic benefits of the VIEs. In April 2020, Lequan assigned and transferred its rights and obligations of Foshan Viomi under the original agreements to Yunmi Hulian, which succeeded Lequan as a party to such agreement and assumed its rights and obligations thereunder. Under the exclusive consultation and service agreements, Lequan or Yunmi Hulian have the exclusive right to provide or designate any entity affiliated with them to provide VIEs the technical and business support services, including information technology support, hardware management and updates, software development, maintenance and updates and other operating services. The exclusive consultation and service agreement could be indefinitely effective unless a written agreement is signed by all parties to terminate it or a mandatory termination is requested by PRC laws or regulations. The exclusive consultation and service agreement was effective in July 2015 and will remain effective until all equity interests and assets in Foshan Viomi and Beijing Viomi are sold to Lequan or Yunmi Hulian or the party designated by them. Under this arrangement, Lequan or Yunmi Hulian has the sole discretion to receive an annual service fee at an amount up to 100% of the annual net income of Foshan Viomi and Beijing Viomi, respectively. In addition, Lequan or Yunmi Hulian are entitled to receive other technical service fees at the amount mutually agreed upon by them and the respective VIE.</w:t>
      </w:r>
    </w:p>
    <w:p>
      <w:pPr>
        <w:spacing w:after="0" w:line="180" w:lineRule="exact"/>
        <w:rPr>
          <w:rFonts w:ascii="Times New Roman" w:cs="Times New Roman" w:eastAsia="Times New Roman" w:hAnsi="Times New Roman"/>
          <w:sz w:val="17"/>
          <w:szCs w:val="17"/>
          <w:b w:val="1"/>
          <w:bCs w:val="1"/>
          <w:i w:val="1"/>
          <w:iCs w:val="1"/>
          <w:color w:val="auto"/>
        </w:rPr>
      </w:pPr>
    </w:p>
    <w:p>
      <w:pPr>
        <w:jc w:val="both"/>
        <w:ind w:left="600"/>
        <w:spacing w:after="0" w:line="285"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color w:val="auto"/>
        </w:rPr>
        <w:t>Due to the Disposal as mentioned above, the existing VIE contractual arrangements between Yunmi Hulian and Foshan Viomi were terminated on July 19, 2024. On March 20, 2026, the exclusive consultation and service agreements between Lequan, Beijing Viomi and each of the shareholders of Beijing Viomi was subsequently amended and restated, and the terms were substantially similar to the exclusive consultation and service agreements described before.</w:t>
      </w:r>
    </w:p>
    <w:p>
      <w:pPr>
        <w:spacing w:after="0" w:line="151" w:lineRule="exact"/>
        <w:rPr>
          <w:rFonts w:ascii="Times New Roman" w:cs="Times New Roman" w:eastAsia="Times New Roman" w:hAnsi="Times New Roman"/>
          <w:sz w:val="17"/>
          <w:szCs w:val="17"/>
          <w:b w:val="1"/>
          <w:bCs w:val="1"/>
          <w:i w:val="1"/>
          <w:iCs w:val="1"/>
          <w:color w:val="auto"/>
        </w:rPr>
      </w:pPr>
    </w:p>
    <w:p>
      <w:pPr>
        <w:jc w:val="both"/>
        <w:ind w:left="600"/>
        <w:spacing w:after="0" w:line="25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 part of a pre-closing reorganization, Zhumeng Hulian and Guangdong Interconnect entered into a new exclusive consultation and service agreement. Under the new exclusive consultation and service agreement, Zhumeng Hulian has the exclusive right to provide or designate any entity affiliated with it to provide VIE the technical and business support services, including information technology support, hardware management and updates, software development, maintenance and updates and other operating services. The exclusive consultation and service agreement could be indefinitely effective unless a written agreement is signed by all parties to terminate it or a mandatory termination is requested by PRC laws or regulations. The exclusive consultation and service agreement was effective on July 20, 2024 and will remain effective until all equity interests and assets in Guangdong Interconnect are sold to Zhumeng Hulian or the party designated by it. Under this arrangement, Zhumeng Hulian has the sole discretion to receive an annual service fee at an amount up to 100% of the annual net income of Guangdong Interconnect. In addition, Zhumeng Hulian is entitled to receive other technical service fees at the amount mutually agreed upon by them and the respective VIE.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right="4560" w:hanging="599"/>
        <w:spacing w:after="0" w:line="497" w:lineRule="auto"/>
        <w:tabs>
          <w:tab w:leader="none" w:pos="600" w:val="left"/>
        </w:tabs>
        <w:numPr>
          <w:ilvl w:val="0"/>
          <w:numId w:val="9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VIE Arrangements between the VIEs and the Company’s PRC subsidiaries (Continued) Equity pledge agreement</w:t>
      </w:r>
    </w:p>
    <w:p>
      <w:pPr>
        <w:spacing w:after="0" w:line="1" w:lineRule="exact"/>
        <w:rPr>
          <w:rFonts w:ascii="Times New Roman" w:cs="Times New Roman" w:eastAsia="Times New Roman" w:hAnsi="Times New Roman"/>
          <w:sz w:val="17"/>
          <w:szCs w:val="17"/>
          <w:b w:val="1"/>
          <w:bCs w:val="1"/>
          <w:i w:val="1"/>
          <w:iCs w:val="1"/>
          <w:color w:val="auto"/>
        </w:rPr>
      </w:pPr>
    </w:p>
    <w:p>
      <w:pPr>
        <w:jc w:val="both"/>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color w:val="auto"/>
        </w:rPr>
        <w:t>Pursuant to the equity pledge agreements in July 2015 among Foshan Viomi, Beijing Viomi, all of their shareholders and Lequan, all shareholders of Foshan Viomi and Beijing Viomi agreed to pledge their equity interests in Foshan Viomi or Beijing Viomi to Lequan to secure the performance of the VIEs’ obligations under the existing exclusive purchase option agreement, shareholder voting proxy agreement, exclusive consulting and service agreement and also the equity pledge agreement. The Pledge will remain binding until Foshan Viomi, Beijing Viomi and their shareholders discharge all their obligations under the contractual agreements. In April 2020, Lequan assigned and transferred its rights and obligations under the original agreements to Yunmi Hulian.</w:t>
      </w:r>
    </w:p>
    <w:p>
      <w:pPr>
        <w:spacing w:after="0" w:line="160"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Due to the Disposal as mentioned above, the existing VIE contractual arrangements between Yunmi Hulian and Foshan Viomi was terminated on July 19, 2024. On March 20, 2026, the equity pledge agreements between Lequan, Beijing Viomi and each of the shareholders of Beijing Viomi were subsequently amended and restated, and the terms were substantially similar to the equity pledge agreements described before.</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color w:val="auto"/>
        </w:rPr>
        <w:t>As part of a pre-closing reorganization, Zhumeng Hulian and Guangdong Interconnect entered into a new equity pledge agreement on July 20, 2024. Pursuant to the new equity pledge agreement among Zhumeng Hulian, Guangdong Interconnect and its shareholder, the shareholder of Guangdong Interconnect agreed to pledge its equity interests in Guangdong Interconnect to Zhumeng Hulian to secure the performance of the VIE’s obligations under the existing exclusive purchase option agreement, shareholder voting proxy agreement, exclusive consulting and service agreement and also the equity pledge agreement. The Pledge will remain binding until Guangdong Interconnect and its shareholder discharge all their obligations under the contractual agreements.</w:t>
      </w:r>
    </w:p>
    <w:p>
      <w:pPr>
        <w:spacing w:after="0" w:line="156" w:lineRule="exact"/>
        <w:rPr>
          <w:rFonts w:ascii="Times New Roman" w:cs="Times New Roman" w:eastAsia="Times New Roman" w:hAnsi="Times New Roman"/>
          <w:sz w:val="17"/>
          <w:szCs w:val="17"/>
          <w:b w:val="1"/>
          <w:bCs w:val="1"/>
          <w:i w:val="1"/>
          <w:iCs w:val="1"/>
          <w:color w:val="auto"/>
        </w:rPr>
      </w:pPr>
    </w:p>
    <w:p>
      <w:pPr>
        <w:ind w:left="6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Exclusive purchase option agreement.</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7"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color w:val="auto"/>
        </w:rPr>
        <w:t>Lequan, Foshan Viomi, Beijing Viomi and their shareholders entered into exclusive option agreements in July 2015. In April 2020, Lequan assigned and transferred its rights and obligations under the original agreements to Yunmi Hulian, which succeeded Lequan as a party to such agreement and assumed its rights and obligations thereunder. Pursuant to the exclusive option agreements, the shareholders of Foshan Viomi and Beijing Viomi are obligated to sell their equity interest to Lequan or Yunmi Hulian. Lequan or Yunmi Hulian has the exclusive and irrevocable right to purchase, or cause the shareholders of Foshan Viomi and Beijing Viomi to sell to the party designated by them, in Lequan or Yunmi Hulian’s sole discretion, all of the shareholders’ equity interests or any assets in Foshan Viomi and Beijing Viomi when and to the extent that applicable PRC law permits Lequan or Yunmi Hulian to own such equity interests and assets in Foshan Viomi and Beijing Viomi. The price to be paid will be the minimum amount of consideration permitted by applicable PRC law at the time when such transaction occurs. All of the shareholders promised and agreed that they will refund the consideration once received to Lequan or Yunmi Hulian or any party designated by them within 10 working days. Also, the shareholders of Foshan Viomi and Beijing Viomi should try their best to help Foshan Viomi and Beijing Viomi develop well and are prohibited from transferring, pledging, intentionally terminating significant contracts or otherwise disposing of any significant assets in Foshan Viomi and Beijing Viomi without Lequan or Yunmi Hulian’s prior written consent. The exclusive option agreement will remain effective until all equity interests and assets in Foshan Viomi and Beijing Viomi are sold to Lequan or Yunmi Hulian or the party designated by them.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right="4560" w:hanging="599"/>
        <w:spacing w:after="0" w:line="497" w:lineRule="auto"/>
        <w:tabs>
          <w:tab w:leader="none" w:pos="600" w:val="left"/>
        </w:tabs>
        <w:numPr>
          <w:ilvl w:val="0"/>
          <w:numId w:val="9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VIE Arrangements between the VIEs and the Company’s PRC subsidiaries (Continued) Exclusive purchase option agreement (continued)</w:t>
      </w:r>
    </w:p>
    <w:p>
      <w:pPr>
        <w:spacing w:after="0" w:line="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Due to the Disposal as mentioned above, the existing VIE contractual arrangements between Yunmi Hulian and Foshan Viomi was terminated on July 19, 2024. On March 20, 2026, the exclusive purchase option agreements between Lequan, Beijing Viomi and each of the shareholders of Beijing Viomi were subsequently amended and restated, and the terms were substantially similar to the exclusive purchase option agreements described before.</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5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 part of a pre-closing reorganization, Zhumeng Hulian and Guangdong Interconnect entered into a new exclusive option agreement on July 20, 2024. Pursuant to the exclusive option agreement, the shareholder of Guangdong Interconnect is obligated to sell its equity interest to Zhumeng Hulian. Zhumeng Hulian has the exclusive and irrevocable right to purchase, or cause the shareholder of Guangdong Interconnect to sell to the party designated by it, in Zhumeng Hulian’s sole discretion, all of the shareholder’s equity interests or any assets in Guangdong Interconnect when and to the extent that applicable PRC law permits Zhumeng Hulian to own such equity interests and assets in Zhumeng Hulian. The price to be paid will be the minimum amount of consideration permitted by applicable PRC law at the time when such transaction occurs. The shareholder promised and agreed that it will refund the consideration once received to Zhumeng Hulian or any party designated by it within 10 working days. Also, the shareholder of Guangdong Interconnect should try it best to help Guangdong Interconnect develop well and are prohibited from transferring, pledging, intentionally terminating significant contracts or otherwise disposing of any significant assets in Guangdong Interconnect without Zhumeng Hulian’s prior written consent. The exclusive option agreement will remain effective until all equity interests and assets in Guangdong Interconnect are sold to Zhumeng Hulian or the party designated by it.</w:t>
      </w:r>
    </w:p>
    <w:p>
      <w:pPr>
        <w:spacing w:after="0" w:line="178" w:lineRule="exact"/>
        <w:rPr>
          <w:rFonts w:ascii="Times New Roman" w:cs="Times New Roman" w:eastAsia="Times New Roman" w:hAnsi="Times New Roman"/>
          <w:sz w:val="17"/>
          <w:szCs w:val="17"/>
          <w:b w:val="1"/>
          <w:bCs w:val="1"/>
          <w:i w:val="1"/>
          <w:iCs w:val="1"/>
          <w:color w:val="auto"/>
        </w:rPr>
      </w:pPr>
    </w:p>
    <w:p>
      <w:pPr>
        <w:ind w:left="6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Shareholder voting proxy agreement</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July 2015, all of the shareholders of Foshan Viomi and Beijing Viomi have executed a shareholder voting proxy agreement with Lequan, Foshan Viomi and Beijing Viomi, whereby all of the shareholders irrevocably appoint and constitute the person designated by Lequan as their attorney-in-fact to exercise on their behalf any and all rights that the shareholders have in respect of their equity interests in Foshan Viomi and Beijing Viomi. In April 2020, Lequan assigned and transferred its rights and obligations under the original agreement to Yunmi Hulian, which succeeded Lequan as a party to such agreement and assumed its rights and obligations thereunder. The shareholder voting proxy agreement will be indefinitely effective unless all parties decide to terminate it by written agreement.</w:t>
      </w:r>
    </w:p>
    <w:p>
      <w:pPr>
        <w:spacing w:after="0" w:line="175"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Due to the Disposal as mentioned above, the existing VIE contractual arrangements between Yunmi Hulian and Foshan Viomi was terminated on July 19, 2024. As part of a pre-closing reorganization, Zhumeng Hulian executed a new shareholder voting proxy agreement with Guangdong Interconnect on July 20, 2024, whereby the shareholder irrevocably appoint and constitute the person designated by Zhumeng Hulian as their attorney-in-fact to exercise on its behalf any and all rights that the shareholder has in respect of its equity interests in Guangdong Interconnect. The shareholder voting proxy agreement will be indefinitely effective unless all parties decide to terminate it by written agreement.</w:t>
      </w:r>
    </w:p>
    <w:p>
      <w:pPr>
        <w:spacing w:after="0" w:line="175"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September 2018, Foshan Viomi reduced its registered capital and changed its shareholders from Mr. Chen and Tianjin Jinxing to Mr. Chen alone. Concurrently, the Company entered into a series of contractual arrangements in substantially the same forms with Foshan Viomi and Mr. Chen.</w:t>
      </w:r>
    </w:p>
    <w:p>
      <w:pPr>
        <w:spacing w:after="0" w:line="159"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Management therefore concluded that the Company, through its PRC subsidiaries and the above contractual arrangements, has the power to direct the activities that most significantly impact the VIEs’ economic performance, bears the risks of and enjoys the rewards normally associated with ownership of the VIEs, and therefore the Company is the ultimate primary beneficiary of these VIEs. Consequently, the financial results of the VIEs were included in the Group’s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right="4560" w:hanging="599"/>
        <w:spacing w:after="0" w:line="497" w:lineRule="auto"/>
        <w:tabs>
          <w:tab w:leader="none" w:pos="600" w:val="left"/>
        </w:tabs>
        <w:numPr>
          <w:ilvl w:val="0"/>
          <w:numId w:val="10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VIE Arrangements between the VIEs and the Company’s PRC subsidiaries (Continued) Risks in relation to VIE structure</w:t>
      </w:r>
    </w:p>
    <w:p>
      <w:pPr>
        <w:spacing w:after="0" w:line="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Company believes that the contractual arrangements among its subsidiaries, their VIEs and their respective shareholders are in compliance with PRC laws and regulations and are legally enforceable. However, uncertainties in the PRC legal system could limit Lequan and Zhumeng Hulian’s ability to enforce the contractual arrangements. If the legal structure and contractual arrangements were found to be in violation of PRC laws and regulations, the PRC government could:</w:t>
      </w:r>
    </w:p>
    <w:p>
      <w:pPr>
        <w:spacing w:after="0" w:line="174" w:lineRule="exact"/>
        <w:rPr>
          <w:rFonts w:ascii="Times New Roman" w:cs="Times New Roman" w:eastAsia="Times New Roman" w:hAnsi="Times New Roman"/>
          <w:sz w:val="17"/>
          <w:szCs w:val="17"/>
          <w:b w:val="1"/>
          <w:bCs w:val="1"/>
          <w:i w:val="1"/>
          <w:iCs w:val="1"/>
          <w:color w:val="auto"/>
        </w:rPr>
      </w:pPr>
    </w:p>
    <w:p>
      <w:pPr>
        <w:ind w:left="1220" w:hanging="614"/>
        <w:spacing w:after="0"/>
        <w:tabs>
          <w:tab w:leader="none" w:pos="12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revoke the business and operating licenses of the Company’s PRC subsidiaries and VIEs;</w:t>
      </w:r>
    </w:p>
    <w:p>
      <w:pPr>
        <w:spacing w:after="0" w:line="22"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discontinue or restrict the operations of any related-party transactions between the Company’s PRC subsidiaries and VIEs;</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Company’s business expansion in China by way of entering into contractual arrangements;</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fines or other requirements with which the Company’s PRC subsidiaries and VIEs may not be able to comply;</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additional conditions or requirements with which the Company may not be able to comply;</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other regulatory or enforcement actions against the Company that could be harmful to the Company’s business or</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Company or the Company’s PRC subsidiaries or VIEs to restructure the relevant ownership structure or operations.</w:t>
      </w:r>
    </w:p>
    <w:p>
      <w:pPr>
        <w:spacing w:after="0" w:line="192"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The Company’s ability to conduct its business may be negatively affected if the PRC government were to carry out any of the aforementioned actions. As a result, the Company may not be able to consolidate its VIEs in its consolidated financial statements as it may lose the ability to exert effective control over the VIEs and their respective shareholders and it may lose the ability to receive economic benefits from the VIEs. The Company, however, does not believe such actions would result in the liquidation or dissolution of the Company, its PRC subsidiaries or VIEs.</w:t>
      </w:r>
    </w:p>
    <w:p>
      <w:pPr>
        <w:spacing w:after="0" w:line="175"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Mr. Chen is the ultimate shareholder of Guangdong Interconnect and the largest shareholder of Beijing Viomi, and Mr. Chen is also the largest beneficiary owner of the Company. The interests of Mr. Chen as the largest beneficiary owner of the VIEs may differ from the interests of the Company as a whole, since Mr. Chen is only one of the beneficiary shareholders of the Company. The Company cannot assert that when conflicts of interest arise, Mr. Chen will act in the best interests of the Company or that conflicts of interests will be resolved in the Company’s favor. Currently, the Company does not have existing arrangements to address potential conflicts of interest Mr. Chen may encounter in his capacity as a beneficial owner and director of the VIEs, on the one hand, and as a beneficial owner and director of the Company, on the other hand. The Company relies on Mr. Chen, as a director and executive officer of the Company, to fulfill his fiduciary duties and abide by laws of the PRC and Cayman Islands and act in the best interest of the Company. If the Company cannot resolve any conflicts of interest or disputes between the Company and Mr. Chen, the Company would have to rely on legal proceedings, which could result in disruption of its business, and there is substantial uncertainty as to the outcome of any such legal proceedings.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hanging="599"/>
        <w:spacing w:after="0"/>
        <w:tabs>
          <w:tab w:leader="none" w:pos="600" w:val="left"/>
        </w:tabs>
        <w:numPr>
          <w:ilvl w:val="0"/>
          <w:numId w:val="10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VIE Arrangements between the VIEs and the Company’s PRC subsidiaries (Continued)</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addition, the other shareholder of Beijing Viomi is also a beneficial owner of the Company and therefore have no current interest in seeking to act contrary to the contractual arrangements. However, to further protect the investors’ interest from any risk that the shareholders of the Foshan Viomi and Beijing Viomi may act contrary to the contractual arrangements, the Company, through Lequan, entered into a shareholder voting proxy agreement with all of the shareholders of Foshan Viomi and Beijing Viomi in July 2015. The shareholder voting proxy agreement with the shareholder of Foshan Viomi has been updated in September 2018 as Foshan Viomi reduced its registered capital and changed its shareholders from Mr. Chen and Tianjin Jinxing to Mr. Chen alone. In April 2020, Lequan assigned and transferred its rights and obligations of Foshan Viomi under the original agreements to Yunmi Hulian, which succeeded Lequan as a party to such agreement and assumed its rights and obligations thereunder. Due to the Disposal as mentioned above, the existing VIE contractual arrangements between Yunmi Hulian and Foshan Viomi was terminated on July 19, 2024. As part of a pre-closing reorganization, Zhumeng Hulian executed a new shareholder voting proxy agreement with Guangdong Interconnect on July 20, 2024. Through the shareholder voting proxy agreement, all shareholders of Guangdong Interconnect and Beijing Viomi have entrusted the person designated by Lequan or Zhumeng Hulian as its proxy to exercise their rights as the shareholders of Zhumeng Hulian and Beijing Viomi with respect to an aggregate of 100% of the equity interests in Zhumeng Hulian and Beijing Viomi.</w:t>
      </w:r>
    </w:p>
    <w:p>
      <w:pPr>
        <w:spacing w:after="0" w:line="178" w:lineRule="exact"/>
        <w:rPr>
          <w:rFonts w:ascii="Times New Roman" w:cs="Times New Roman" w:eastAsia="Times New Roman" w:hAnsi="Times New Roman"/>
          <w:sz w:val="17"/>
          <w:szCs w:val="17"/>
          <w:b w:val="1"/>
          <w:bCs w:val="1"/>
          <w:i w:val="1"/>
          <w:iCs w:val="1"/>
          <w:color w:val="auto"/>
        </w:rPr>
      </w:pPr>
    </w:p>
    <w:p>
      <w:pPr>
        <w:jc w:val="both"/>
        <w:ind w:left="600"/>
        <w:spacing w:after="0" w:line="25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March 2019, the National People’s Congress enacted PRC Foreign Investment Law which would be effective starting from January 1, 2020.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Existing laws or administrative regulations remain unclear whether the contractual arrangements with variable interest entities will be deemed to be in violation of the market access requirements for foreign investment under the PRC laws and regulations. However, the possibility that such entities will be deemed as foreign invested enterprise and subject to relevant restrictions in the future shall not be excluded. If variable interest entities fall within the definition of foreign investment entities, the Company’s ability to use the contractual arrangements with its VIEs and the Company’s ability to conduct business through the VIEs could be severely limited.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PRINCIPAL ACTIVITIES (Continued)</w:t>
      </w:r>
    </w:p>
    <w:p>
      <w:pPr>
        <w:spacing w:after="0" w:line="208" w:lineRule="exact"/>
        <w:rPr>
          <w:sz w:val="20"/>
          <w:szCs w:val="20"/>
          <w:color w:val="auto"/>
        </w:rPr>
      </w:pPr>
    </w:p>
    <w:p>
      <w:pPr>
        <w:ind w:left="600" w:hanging="599"/>
        <w:spacing w:after="0"/>
        <w:tabs>
          <w:tab w:leader="none" w:pos="600" w:val="left"/>
        </w:tabs>
        <w:numPr>
          <w:ilvl w:val="0"/>
          <w:numId w:val="10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VIE Arrangements between the VIEs and the Company’s PRC subsidiaries (Continued)</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following table sets forth the assets, liabilities, results of operations and cash flows of the VIEs and its subsidiaries taken as a whole on an aggregated basis, which were included in the Group’s consolidated financial statements. For purposes of this presentation, activity within and between the VIEs and their subsidiaries have been eliminated, but transactions with other entities within the Consolidated Group have been included without elimination.</w:t>
      </w:r>
    </w:p>
    <w:p>
      <w:pPr>
        <w:spacing w:after="0" w:line="17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6080" w:type="dxa"/>
            <w:vAlign w:val="bottom"/>
          </w:tcPr>
          <w:p>
            <w:pPr>
              <w:spacing w:after="0"/>
              <w:rPr>
                <w:sz w:val="16"/>
                <w:szCs w:val="16"/>
                <w:color w:val="auto"/>
              </w:rPr>
            </w:pPr>
          </w:p>
        </w:tc>
        <w:tc>
          <w:tcPr>
            <w:tcW w:w="1080" w:type="dxa"/>
            <w:vAlign w:val="bottom"/>
          </w:tcPr>
          <w:p>
            <w:pPr>
              <w:jc w:val="center"/>
              <w:ind w:left="5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7,179</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334,198</w:t>
            </w:r>
          </w:p>
        </w:tc>
      </w:tr>
      <w:tr>
        <w:trPr>
          <w:trHeight w:val="185"/>
        </w:trPr>
        <w:tc>
          <w:tcPr>
            <w:tcW w:w="71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Accounts receivable from third parties (net of allowance of RMB19 and nil as of</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2024 and 2025, respectively)</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from Group companies</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498,455</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173,911</w:t>
            </w:r>
          </w:p>
        </w:tc>
      </w:tr>
      <w:tr>
        <w:trPr>
          <w:trHeight w:val="202"/>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68</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w:t>
            </w:r>
          </w:p>
        </w:tc>
      </w:tr>
      <w:tr>
        <w:trPr>
          <w:trHeight w:val="214"/>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6,438</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5,163</w:t>
            </w:r>
          </w:p>
        </w:tc>
      </w:tr>
    </w:tbl>
    <w:p>
      <w:pPr>
        <w:spacing w:after="0" w:line="1" w:lineRule="exact"/>
        <w:rPr>
          <w:sz w:val="20"/>
          <w:szCs w:val="20"/>
          <w:color w:val="auto"/>
        </w:rPr>
      </w:pPr>
    </w:p>
    <w:p>
      <w:pPr>
        <w:sectPr>
          <w:pgSz w:w="11900" w:h="16838" w:orient="portrait"/>
          <w:cols w:equalWidth="0" w:num="1">
            <w:col w:w="11240"/>
          </w:cols>
          <w:pgMar w:left="320" w:top="224" w:right="339" w:bottom="1440" w:gutter="0" w:footer="0" w:header="0"/>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Total assets</w:t>
      </w:r>
    </w:p>
    <w:p>
      <w:pPr>
        <w:spacing w:after="0" w:line="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Accounts and notes payable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Amounts due to Group companies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Accrued expenses and other liabilities</w:t>
      </w:r>
    </w:p>
    <w:p>
      <w:pPr>
        <w:spacing w:after="0" w:line="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liabilities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Total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207"/>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512,202</w:t>
            </w:r>
          </w:p>
        </w:tc>
        <w:tc>
          <w:tcPr>
            <w:tcW w:w="280" w:type="dxa"/>
            <w:vAlign w:val="bottom"/>
          </w:tcPr>
          <w:p>
            <w:pPr>
              <w:spacing w:after="0"/>
              <w:rPr>
                <w:sz w:val="17"/>
                <w:szCs w:val="17"/>
                <w:color w:val="auto"/>
              </w:rPr>
            </w:pP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513,340</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4,320</w:t>
            </w:r>
          </w:p>
        </w:tc>
        <w:tc>
          <w:tcPr>
            <w:tcW w:w="280" w:type="dxa"/>
            <w:vAlign w:val="bottom"/>
            <w:vMerge w:val="continue"/>
          </w:tcPr>
          <w:p>
            <w:pPr>
              <w:spacing w:after="0"/>
              <w:rPr>
                <w:sz w:val="14"/>
                <w:szCs w:val="14"/>
                <w:color w:val="auto"/>
              </w:rPr>
            </w:pPr>
          </w:p>
        </w:tc>
        <w:tc>
          <w:tcPr>
            <w:tcW w:w="166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26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168</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4"/>
        </w:trPr>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1,046</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5,853</w:t>
            </w:r>
          </w:p>
        </w:tc>
        <w:tc>
          <w:tcPr>
            <w:tcW w:w="0" w:type="dxa"/>
            <w:vAlign w:val="bottom"/>
          </w:tcPr>
          <w:p>
            <w:pPr>
              <w:spacing w:after="0"/>
              <w:rPr>
                <w:sz w:val="1"/>
                <w:szCs w:val="1"/>
                <w:color w:val="auto"/>
              </w:rPr>
            </w:pPr>
          </w:p>
        </w:tc>
      </w:tr>
      <w:tr>
        <w:trPr>
          <w:trHeight w:val="218"/>
        </w:trPr>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186</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1,305</w:t>
            </w:r>
          </w:p>
        </w:tc>
        <w:tc>
          <w:tcPr>
            <w:tcW w:w="0" w:type="dxa"/>
            <w:vAlign w:val="bottom"/>
          </w:tcPr>
          <w:p>
            <w:pPr>
              <w:spacing w:after="0"/>
              <w:rPr>
                <w:sz w:val="1"/>
                <w:szCs w:val="1"/>
                <w:color w:val="auto"/>
              </w:rPr>
            </w:pPr>
          </w:p>
        </w:tc>
      </w:tr>
      <w:tr>
        <w:trPr>
          <w:trHeight w:val="207"/>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5,720</w:t>
            </w:r>
          </w:p>
        </w:tc>
        <w:tc>
          <w:tcPr>
            <w:tcW w:w="280" w:type="dxa"/>
            <w:vAlign w:val="bottom"/>
          </w:tcPr>
          <w:p>
            <w:pPr>
              <w:spacing w:after="0"/>
              <w:rPr>
                <w:sz w:val="18"/>
                <w:szCs w:val="18"/>
                <w:color w:val="auto"/>
              </w:rPr>
            </w:pP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7,278</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-703580</wp:posOffset>
            </wp:positionV>
            <wp:extent cx="6212840" cy="144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6212840" cy="14414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-431800</wp:posOffset>
            </wp:positionV>
            <wp:extent cx="6212840"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-167640</wp:posOffset>
            </wp:positionV>
            <wp:extent cx="6212840" cy="152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6212840" cy="152400"/>
                    </a:xfrm>
                    <a:prstGeom prst="rect">
                      <a:avLst/>
                    </a:prstGeom>
                    <a:noFill/>
                  </pic:spPr>
                </pic:pic>
              </a:graphicData>
            </a:graphic>
          </wp:anchor>
        </w:drawing>
      </w:r>
    </w:p>
    <w:p>
      <w:pPr>
        <w:spacing w:after="0" w:line="1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94"/>
        </w:trPr>
        <w:tc>
          <w:tcPr>
            <w:tcW w:w="1480" w:type="dxa"/>
            <w:vAlign w:val="bottom"/>
          </w:tcPr>
          <w:p>
            <w:pPr>
              <w:ind w:left="56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6"/>
                <w:szCs w:val="16"/>
                <w:color w:val="auto"/>
              </w:rPr>
            </w:pPr>
          </w:p>
        </w:tc>
        <w:tc>
          <w:tcPr>
            <w:tcW w:w="1480" w:type="dxa"/>
            <w:vAlign w:val="bottom"/>
          </w:tcPr>
          <w:p>
            <w:pPr>
              <w:ind w:left="54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6"/>
                <w:szCs w:val="16"/>
                <w:color w:val="auto"/>
              </w:rPr>
            </w:pPr>
          </w:p>
        </w:tc>
        <w:tc>
          <w:tcPr>
            <w:tcW w:w="1440" w:type="dxa"/>
            <w:vAlign w:val="bottom"/>
          </w:tcPr>
          <w:p>
            <w:pPr>
              <w:ind w:left="52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r>
    </w:tbl>
    <w:p>
      <w:pPr>
        <w:spacing w:after="0" w:line="1" w:lineRule="exact"/>
        <w:rPr>
          <w:sz w:val="20"/>
          <w:szCs w:val="20"/>
          <w:color w:val="auto"/>
        </w:rPr>
      </w:pPr>
    </w:p>
    <w:p>
      <w:pPr>
        <w:sectPr>
          <w:pgSz w:w="11900" w:h="16838" w:orient="portrait"/>
          <w:cols w:equalWidth="0" w:num="2">
            <w:col w:w="4580" w:space="720"/>
            <w:col w:w="5940"/>
          </w:cols>
          <w:pgMar w:left="320" w:top="224" w:right="339" w:bottom="1440" w:gutter="0" w:footer="0" w:header="0"/>
          <w:type w:val="continuous"/>
        </w:sectPr>
      </w:pPr>
    </w:p>
    <w:tbl>
      <w:tblPr>
        <w:tblLayout w:type="fixed"/>
        <w:tblInd w:w="60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468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Revenue from Group companies </w:t>
            </w:r>
            <w:r>
              <w:rPr>
                <w:rFonts w:ascii="Times New Roman" w:cs="Times New Roman" w:eastAsia="Times New Roman" w:hAnsi="Times New Roman"/>
                <w:sz w:val="27"/>
                <w:szCs w:val="27"/>
                <w:color w:val="auto"/>
                <w:vertAlign w:val="superscript"/>
              </w:rPr>
              <w:t>(1)</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23,344</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49,679</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Revenue from a related party and third parties</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1,433,072</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903,402</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Cost from Group companies</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(790,069)</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(533,402)</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from a related party and third parties</w:t>
            </w: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(350,185)</w:t>
            </w: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(312,125)</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(1,905)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29,046</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8,160</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20" w:hanging="263"/>
        <w:spacing w:after="0"/>
        <w:tabs>
          <w:tab w:leader="none" w:pos="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Inter-company revenues between VIEs and other subsidiaries</w:t>
      </w:r>
    </w:p>
    <w:p>
      <w:pPr>
        <w:spacing w:after="0" w:line="313"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VIEs sell certain products and provide marketing services to other subsidiaries. For the years ended December 31, 2023, 2024 and 2025, the inter-company sales recognized by VIEs to Primary beneficiaries of VIEs and their subsidiaries for the years ended December 31, 2023, 2024 and 2025 are RMB23,344, RMB49,679 and RMB1,528, respectively.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w:t>
      </w:r>
    </w:p>
    <w:p>
      <w:pPr>
        <w:spacing w:after="0" w:line="208" w:lineRule="exact"/>
        <w:rPr>
          <w:sz w:val="20"/>
          <w:szCs w:val="20"/>
          <w:color w:val="auto"/>
        </w:rPr>
      </w:pPr>
    </w:p>
    <w:p>
      <w:pPr>
        <w:ind w:left="600" w:hanging="599"/>
        <w:spacing w:after="0"/>
        <w:tabs>
          <w:tab w:leader="none" w:pos="600" w:val="left"/>
        </w:tabs>
        <w:numPr>
          <w:ilvl w:val="0"/>
          <w:numId w:val="10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Basis of presentation</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consolidated financial statements of the Group have been prepared in accordance with accounting principles generally accepted in the United States of America (“U.S. GAAP”) to reflect the financial position, results of operations and cash flows of the Group. Significant accounting policies followed by the Group in the preparation of the consolidated financial statements are summarized below.</w:t>
      </w:r>
    </w:p>
    <w:p>
      <w:pPr>
        <w:spacing w:after="0" w:line="165"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0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Consolidation</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Group’s consolidated financial statements include the financial statements of the Company, its subsidiaries and VIEs for which the Company or its subsidiaries are the primary beneficiaries. All transactions and balances among the Company, its subsidiaries and VIEs have been eliminated upon consolidation.</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 VIE is an entity in which the Company, or its subsidiaries, through contractual agreements, bears the risks of, and enjoys the rewards normally associated with ownership of the entity, and therefore the Company or its subsidiaries are the primary beneficiary of the entity. In determining whether the Company or its subsidiaries are the primary beneficiary, the Company considered whether it has the power to direct activities that are significant to the VIE’s economic performance, and also the Company’s obligation to absorb losses of the VIE that could potentially be significant to the VIE or the right to receive benefits from the VIE that could potentially be significant to the VIE. Lequan, Zhumeng Hulian and ultimately the Company hold all the variable interests of the VIE and have been determined to be the primary beneficiaries of the VIE. As a result of the transaction to Mr. Chen on August 31, 2024, the Group no longer consolidates the results of Foshan Yunmi and its subsidiaries.</w:t>
      </w:r>
    </w:p>
    <w:p>
      <w:pPr>
        <w:spacing w:after="0" w:line="173"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0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Use of estimates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reported and disclosed in the consolidated financial statements and accompanying notes. Significant accounting estimates reflected in the Group’s consolidated financial statements include sales returns, inventory valuation, product warranties, variable consideration, share-based compensation, allowance for credit losses, and the valuation allowance for deferred tax assets. Actual results could differ from those estimates, and such differences may be material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0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uses Renminbi (“RMB”) as its reporting currency. The functional currency of the Company and its subsidiaries incorporated in Hong Kong and British Virgin Islands are United States dollar (“US$”), while the functional currency of the Group’s entities in the PRC is RMB, which is their respective local currency. In the consolidated financial statements, the financial information of the Company and its subsidiaries in Hong Kong and British Virgin Islands, which use US$ as their functional currency, have been translated into RMB. Assets and liabilities are translated at the exchange rates on the balance sheet date, equity amounts are translated at historical exchange rates, and revenues, expenses, and incomes are translated using the average exchange rate for the period. Translation adjustments arising from these are reported as foreign currency translation adjustments and are shown as a component of other comprehensive (loss) income in the statements of comprehensive (loss) income.</w:t>
      </w:r>
    </w:p>
    <w:p>
      <w:pPr>
        <w:spacing w:after="0" w:line="177"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Foreign currency transactions denominated in currencies other than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Foreign exchange gains and losses resulting from the settlement of such transactions and from remeasurement at year-end are recognized in Foreign currency translation adjustment in the consolidated statements of comprehensive (loss) income.</w:t>
      </w:r>
    </w:p>
    <w:p>
      <w:pPr>
        <w:spacing w:after="0" w:line="170"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0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Convenience translation</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77"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6"/>
          <w:szCs w:val="16"/>
          <w:color w:val="auto"/>
        </w:rPr>
        <w:t>Translations of balances in the consolidated balance sheets, consolidated statements of comprehensive (loss) income and consolidated statements of cash flows from RMB into US$ as of and for the year ended December 31, 2025 are solely for the convenience of the reader and were calculated at the noon buying rate of US$1.00 = RMB6.9931 on December 31, 2025 as set forth in the H.10 statistical release of the U.S. Federal Reserve Board. No representation is made that the RMB amounts could have been, or could be, converted, realized or settled into US$ at that rate on December 31, 2025, or at any other rate.</w:t>
      </w:r>
    </w:p>
    <w:p>
      <w:pPr>
        <w:spacing w:after="0" w:line="356"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0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Cash includes currency on hand and deposits held by financial institutions that can be added to or withdrawn without limitation. Cash equivalents represent short-term and highly liquid investments placed with banks, and all highly liquid investments with original maturities of three months or less, which have both of the following characteristics:</w:t>
      </w:r>
    </w:p>
    <w:p>
      <w:pPr>
        <w:spacing w:after="0" w:line="169" w:lineRule="exact"/>
        <w:rPr>
          <w:rFonts w:ascii="Times New Roman" w:cs="Times New Roman" w:eastAsia="Times New Roman" w:hAnsi="Times New Roman"/>
          <w:sz w:val="17"/>
          <w:szCs w:val="17"/>
          <w:b w:val="1"/>
          <w:bCs w:val="1"/>
          <w:i w:val="1"/>
          <w:iCs w:val="1"/>
          <w:color w:val="auto"/>
        </w:rPr>
      </w:pPr>
    </w:p>
    <w:p>
      <w:pPr>
        <w:ind w:left="760" w:hanging="154"/>
        <w:spacing w:after="0"/>
        <w:tabs>
          <w:tab w:leader="none" w:pos="76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Readily convertible to known amounts of cash throughout the maturity period;</w:t>
      </w:r>
    </w:p>
    <w:p>
      <w:pPr>
        <w:spacing w:after="0" w:line="207" w:lineRule="exact"/>
        <w:rPr>
          <w:rFonts w:ascii="Times New Roman" w:cs="Times New Roman" w:eastAsia="Times New Roman" w:hAnsi="Times New Roman"/>
          <w:sz w:val="17"/>
          <w:szCs w:val="17"/>
          <w:color w:val="auto"/>
        </w:rPr>
      </w:pPr>
    </w:p>
    <w:p>
      <w:pPr>
        <w:ind w:left="800" w:hanging="194"/>
        <w:spacing w:after="0"/>
        <w:tabs>
          <w:tab w:leader="none" w:pos="80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near their maturity that they present insignificant risk of changes in value because of changes in interest rates.</w:t>
      </w:r>
    </w:p>
    <w:p>
      <w:pPr>
        <w:spacing w:after="0" w:line="203"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0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Restricted cash</w:t>
      </w:r>
    </w:p>
    <w:p>
      <w:pPr>
        <w:spacing w:after="0" w:line="212"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Cash that is restricted as to withdrawal or for use or pledged as security is reported separately on the face of the consolidated balance sheets. Restricted cash is included in the total cash and cash equivalents and restricted cash in the consolidated statements of cash flows when reconciling the beginning-of-period and end-of-period total amounts shown on the statements of cash flows. The Group’s restricted cash mainly represents security deposits held in designated bank accounts for issuance of bank acceptance notes and foreign exchange deposits in the bank of mainland China.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Short-term deposits</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Short-term deposits represent time deposits placed with banks with original maturities of more than three months but less than one year. Interest earned is recorded as interest income in the consolidated statements of comprehensive (loss) income.</w:t>
      </w:r>
    </w:p>
    <w:p>
      <w:pPr>
        <w:spacing w:after="0" w:line="154"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Short-term investments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accordance with ASC 825, for investments in financial instruments with a variable interest rate indexed to the performance of underlying assets, the Group elected the fair value method at the date of initial recognition and carried these investments subsequently at fair value. Changes in fair values are reflected in the consolidated statements of comprehensive (loss) income.</w:t>
      </w:r>
    </w:p>
    <w:p>
      <w:pPr>
        <w:spacing w:after="0" w:line="165"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Accounts receivable</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Accounts receivable are stated at the historical carrying amount net of allowance for credit losses. On January 1, 2020, the Group adopted ASC326, “Financial Instruments—Credit Losses” using modified retrospective transition approach. The Group provides an allowance against accounts receivable to the amount management reasonably believe will be collected. The Group writes off trade receivable when they are deemed uncollectible.</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maintains an allowance for credit losses which reflects its best estimate of amounts that potentially will not be collected. Accounts receivable have been grouped based on shared credit risk characteristics and days past due to estimate, taking into consideration various factors including but not limited to historical collection experience and credit-worthiness of the debtors.</w:t>
      </w:r>
    </w:p>
    <w:p>
      <w:pPr>
        <w:spacing w:after="0" w:line="165"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Inventories, net</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2"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Inventories are stated at the lower of cost or net realizable value (“NRV”). Inventory costs are calculated on the actual cost basis including expenses that are directly or indirectly incurred in the purchase, and production of manufactured product. Expenses include the cost of materials, consignment manufacturing cost and other direct costs. Cost is determined using the weighted average method. The Group assesses the valuation of inventory and periodically writes down the value for inventories when their costs are lower than the NRV. The NRV is determined based on the estimated net selling prices less the estimated costs to completion and other costs necessary to make the sale. Determination of estimated net selling prices of finished goods, estimated costs to completion and other costs necessary to make the sale requires significant management judgements, taking into consideration historical actual information and expected future market trends.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Long-term deposits</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Long-term deposits represent time deposits placed with banks with original maturities of more than one year. Interest earned is recorded as interest income in the consolidated statements of comprehensive (loss) income.</w:t>
      </w:r>
    </w:p>
    <w:p>
      <w:pPr>
        <w:spacing w:after="0" w:line="154"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Property, plant, and equipment are carried at cost less accumulated depreciation and impairment losses, if any. Depreciation is calculated on a straight-line basis over the following estimated useful lives and residual value. Residual rate is determined based on the economic value of the property, plant and equipment at the end of the estimated useful lives as a percentage of the original cost.</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60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Estimated useful lives</w:t>
            </w:r>
          </w:p>
        </w:tc>
        <w:tc>
          <w:tcPr>
            <w:tcW w:w="1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Residual rate</w:t>
            </w:r>
          </w:p>
        </w:tc>
        <w:tc>
          <w:tcPr>
            <w:tcW w:w="140" w:type="dxa"/>
            <w:vAlign w:val="bottom"/>
            <w:tcBorders>
              <w:bottom w:val="single" w:sz="8" w:color="CCEEFF"/>
            </w:tcBorders>
          </w:tcPr>
          <w:p>
            <w:pPr>
              <w:spacing w:after="0"/>
              <w:rPr>
                <w:sz w:val="19"/>
                <w:szCs w:val="19"/>
                <w:color w:val="auto"/>
              </w:rPr>
            </w:pPr>
          </w:p>
        </w:tc>
      </w:tr>
      <w:tr>
        <w:trPr>
          <w:trHeight w:val="19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years</w:t>
            </w:r>
          </w:p>
        </w:tc>
        <w:tc>
          <w:tcPr>
            <w:tcW w:w="18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2"/>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Computers and equipment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1-10 years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0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Vehicle</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4 - 5 years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bl>
    <w:p>
      <w:pPr>
        <w:spacing w:after="0" w:line="185"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Expenditures for maintenance and repairs are expensed as incurred. The gain or loss on the disposal of property, plant and equipment is the difference between the net sales proceeds and the carrying amount of the relevant assets and is recognized in the consolidated statements of comprehensive (loss) income.</w:t>
      </w:r>
    </w:p>
    <w:p>
      <w:pPr>
        <w:spacing w:after="0" w:line="169"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Construction in progress represents property, plant, and equipment under construction and pending installation and is stated at cost less accumulated impairment losses, if any. Completed assets are transferred to their respective asset classes and depreciation begins when an asset is ready for its intended use. Interest expense on outstanding debt is capitalized during the period of significant capital asset construction. Capitalized interest expense on construction-in-progress is included within property, plant, and equipment and is amortized over the life of the related assets.</w:t>
      </w:r>
    </w:p>
    <w:p>
      <w:pPr>
        <w:spacing w:after="0" w:line="171" w:lineRule="exact"/>
        <w:rPr>
          <w:sz w:val="20"/>
          <w:szCs w:val="20"/>
          <w:color w:val="auto"/>
        </w:rPr>
      </w:pPr>
    </w:p>
    <w:p>
      <w:pPr>
        <w:ind w:left="600" w:hanging="599"/>
        <w:spacing w:after="0"/>
        <w:tabs>
          <w:tab w:leader="none" w:pos="600" w:val="left"/>
        </w:tabs>
        <w:numPr>
          <w:ilvl w:val="0"/>
          <w:numId w:val="1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If the sum of the expected undiscounted cash flows is less than the carrying amount of the assets, the Group would recognize an impairment loss, which is the excess of carrying amount over the recoverable amount of the assets, using the expected future discounted cash flows. No impairments of long-lived assets were recognized as of December 31, 2024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Long-term investment</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an investee over which the Group has the ability to exercise significant influence, but does not own a majority equity interest or otherwise control, the Group accounted for those using the equity method. Significant influence is generally considered to exist when the Group has an ownership interest in the voting stock of the investee between 20% and 50%. Other factors, such as representation on the investee’s board of directors, voting rights and the impact of commercial arrangements, are also considered in determining whether the equity method of accounting is appropriate. Under the equity method of accounting, the Group’s share of the investee’s results of operations is included in interest and investment income, net in the consolidated statements of comprehensive (loss) income.</w:t>
      </w:r>
    </w:p>
    <w:p>
      <w:pPr>
        <w:spacing w:after="0" w:line="171"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Land use right, net</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Land use right is recorded at cost less accumulated amortization and impairment losses, if any. Amortization is calculated on a straight-line basis over the estimated useful lives which are 50 years that represent the terms of land use right certificate.</w:t>
      </w:r>
    </w:p>
    <w:p>
      <w:pPr>
        <w:spacing w:after="0" w:line="154"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Intangible assets, net</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Intangible assets mainly consist of software and license. Identifiable intangible assets are carried at acquisition cost less accumulated amortization and impairment losses, if any. Finite-lived intangible assets are tested for impairment if impairment indicators arise. Amortization of finite-lived intangible assets is computed using the straight-line method over their estimated useful lives, which are as follows: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7640" w:type="dxa"/>
            <w:vAlign w:val="bottom"/>
          </w:tcPr>
          <w:p>
            <w:pPr>
              <w:spacing w:after="0"/>
              <w:rPr>
                <w:sz w:val="19"/>
                <w:szCs w:val="19"/>
                <w:color w:val="auto"/>
              </w:rPr>
            </w:pPr>
          </w:p>
        </w:tc>
        <w:tc>
          <w:tcPr>
            <w:tcW w:w="21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Estimated useful lives</w:t>
            </w:r>
          </w:p>
        </w:tc>
      </w:tr>
      <w:tr>
        <w:trPr>
          <w:trHeight w:val="195"/>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1 - 10 years</w:t>
            </w:r>
          </w:p>
        </w:tc>
        <w:tc>
          <w:tcPr>
            <w:tcW w:w="20" w:type="dxa"/>
            <w:vAlign w:val="bottom"/>
          </w:tcPr>
          <w:p>
            <w:pPr>
              <w:spacing w:after="0"/>
              <w:rPr>
                <w:sz w:val="16"/>
                <w:szCs w:val="16"/>
                <w:color w:val="auto"/>
              </w:rPr>
            </w:pPr>
          </w:p>
        </w:tc>
      </w:tr>
      <w:tr>
        <w:trPr>
          <w:trHeight w:val="218"/>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License</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years</w:t>
            </w:r>
          </w:p>
        </w:tc>
        <w:tc>
          <w:tcPr>
            <w:tcW w:w="20" w:type="dxa"/>
            <w:vAlign w:val="bottom"/>
          </w:tcPr>
          <w:p>
            <w:pPr>
              <w:spacing w:after="0"/>
              <w:rPr>
                <w:sz w:val="18"/>
                <w:szCs w:val="18"/>
                <w:color w:val="auto"/>
              </w:rPr>
            </w:pPr>
          </w:p>
        </w:tc>
      </w:tr>
    </w:tbl>
    <w:p>
      <w:pPr>
        <w:spacing w:after="0" w:line="367" w:lineRule="exact"/>
        <w:rPr>
          <w:sz w:val="20"/>
          <w:szCs w:val="20"/>
          <w:color w:val="auto"/>
        </w:rPr>
      </w:pPr>
    </w:p>
    <w:p>
      <w:pPr>
        <w:ind w:left="600" w:hanging="599"/>
        <w:spacing w:after="0"/>
        <w:tabs>
          <w:tab w:leader="none" w:pos="600" w:val="left"/>
        </w:tabs>
        <w:numPr>
          <w:ilvl w:val="0"/>
          <w:numId w:val="11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Leases</w:t>
      </w:r>
    </w:p>
    <w:p>
      <w:pPr>
        <w:spacing w:after="0" w:line="207" w:lineRule="exact"/>
        <w:rPr>
          <w:rFonts w:ascii="Times New Roman" w:cs="Times New Roman" w:eastAsia="Times New Roman" w:hAnsi="Times New Roman"/>
          <w:sz w:val="17"/>
          <w:szCs w:val="17"/>
          <w:b w:val="1"/>
          <w:bCs w:val="1"/>
          <w:i w:val="1"/>
          <w:iCs w:val="1"/>
          <w:color w:val="auto"/>
        </w:rPr>
      </w:pPr>
    </w:p>
    <w:p>
      <w:pPr>
        <w:ind w:left="6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i w:val="1"/>
          <w:iCs w:val="1"/>
          <w:color w:val="auto"/>
        </w:rPr>
        <w:t>Lessee accounting</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categorizes leases with contractual terms longer than twelve months as either operating or finance. Finance leases are generally those leases that allow lessees to substantially utilize or pay for the entire asset over its estimated life. Assets acquired under finance leases are recorded in property, plant and equipment, net. All other leases are categorized as operating leases. All the leases recognized by the Group were classified as operating leases for the years presented.</w:t>
      </w:r>
    </w:p>
    <w:p>
      <w:pPr>
        <w:spacing w:after="0" w:line="174"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Lease liabilities are recognized at the present value of the fixed lease payments using a discount rate based on similarly secured borrowings available to us. Lease assets are recognized based on the initial present value of the fixed lease payments plus any direct costs from executing the leases or lease prepayments reclassified from “Prepayments and other current assets” upon lease commencement. Costs associated with operating lease assets are recognized on a straight-line basis within operating expenses over the term of the lease.</w:t>
      </w:r>
    </w:p>
    <w:p>
      <w:pPr>
        <w:spacing w:after="0" w:line="174"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has elected not to present short-term leases on the consolidated balance sheets as these leases have a lease term of 12 months or less at commencement date of the lease and do not include options to purchase or renew that the Group is reasonably certain to exercise. The Group recognizes lease expenses for such short-term lease generally on a straight-line basis over the lease term.</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right="9280" w:hanging="599"/>
        <w:spacing w:after="0" w:line="528" w:lineRule="auto"/>
        <w:tabs>
          <w:tab w:leader="none" w:pos="600" w:val="left"/>
        </w:tabs>
        <w:numPr>
          <w:ilvl w:val="0"/>
          <w:numId w:val="1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Leases (Continued) </w:t>
      </w:r>
      <w:r>
        <w:rPr>
          <w:rFonts w:ascii="Times New Roman" w:cs="Times New Roman" w:eastAsia="Times New Roman" w:hAnsi="Times New Roman"/>
          <w:sz w:val="16"/>
          <w:szCs w:val="16"/>
          <w:i w:val="1"/>
          <w:iCs w:val="1"/>
          <w:color w:val="auto"/>
        </w:rPr>
        <w:t>Lessor accounting</w:t>
      </w:r>
    </w:p>
    <w:p>
      <w:pPr>
        <w:spacing w:after="0" w:line="1" w:lineRule="exact"/>
        <w:rPr>
          <w:rFonts w:ascii="Times New Roman" w:cs="Times New Roman" w:eastAsia="Times New Roman" w:hAnsi="Times New Roman"/>
          <w:sz w:val="16"/>
          <w:szCs w:val="16"/>
          <w:b w:val="1"/>
          <w:bCs w:val="1"/>
          <w:i w:val="1"/>
          <w:iCs w:val="1"/>
          <w:color w:val="auto"/>
        </w:rPr>
      </w:pPr>
    </w:p>
    <w:p>
      <w:pPr>
        <w:jc w:val="both"/>
        <w:ind w:left="600"/>
        <w:spacing w:after="0" w:line="261"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The Group rents out its premises to its related parties and third parties, which is classified as an operating lease in accordance with Topic 842. The revenue from an operating lease is recognized in revenue in the consolidated statements of comprehensive (loss) income on a straight-line basis over the term of the lease.</w:t>
      </w:r>
    </w:p>
    <w:p>
      <w:pPr>
        <w:spacing w:after="0" w:line="169" w:lineRule="exact"/>
        <w:rPr>
          <w:rFonts w:ascii="Times New Roman" w:cs="Times New Roman" w:eastAsia="Times New Roman" w:hAnsi="Times New Roman"/>
          <w:sz w:val="16"/>
          <w:szCs w:val="16"/>
          <w:b w:val="1"/>
          <w:bCs w:val="1"/>
          <w:i w:val="1"/>
          <w:iCs w:val="1"/>
          <w:color w:val="auto"/>
        </w:rPr>
      </w:pPr>
    </w:p>
    <w:p>
      <w:pPr>
        <w:ind w:left="600" w:hanging="599"/>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w:t>
      </w:r>
    </w:p>
    <w:p>
      <w:pPr>
        <w:spacing w:after="0" w:line="207" w:lineRule="exact"/>
        <w:rPr>
          <w:rFonts w:ascii="Times New Roman" w:cs="Times New Roman" w:eastAsia="Times New Roman" w:hAnsi="Times New Roman"/>
          <w:sz w:val="17"/>
          <w:szCs w:val="17"/>
          <w:color w:val="auto"/>
        </w:rPr>
      </w:pPr>
    </w:p>
    <w:p>
      <w:pPr>
        <w:jc w:val="both"/>
        <w:ind w:left="6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2014, the FASB issued ASU No. 2014-09, “Revenue from Contracts with Customers (Topic 606)” (“ASU 2014-09”) and subsequently, the FASB issued several amendments which amend certain aspects of the guidance in ASC 2014-09 (ASU No. 2014-09 and the related amendments are collectively referred to as “ASC 606”). According to ASC 606, revenue is recognized when control of the promised good or service is transferred to the customers, in an amount that reflects the consideration the Group expects to be entitled to in exchange for those goods or services. The Group will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 The Group adopted ASC 606 for all periods presented.</w:t>
      </w:r>
    </w:p>
    <w:p>
      <w:pPr>
        <w:spacing w:after="0" w:line="177" w:lineRule="exact"/>
        <w:rPr>
          <w:rFonts w:ascii="Times New Roman" w:cs="Times New Roman" w:eastAsia="Times New Roman" w:hAnsi="Times New Roman"/>
          <w:sz w:val="17"/>
          <w:szCs w:val="17"/>
          <w:color w:val="auto"/>
        </w:rPr>
      </w:pPr>
    </w:p>
    <w:p>
      <w:pPr>
        <w:jc w:val="both"/>
        <w:ind w:left="6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revenue is primarily derived from (i) Home water systems, which are composed of smart water purification systems, kettles and heaters, (ii) consumable products complementary to the Group’s Home water systems, such as water purifier filters, (iii) Kitchen appliances and others. Refer to Note 15 to the consolidated financial statements for disaggregation of the Group’s revenue by type of product and service for the years ended December 31, 2023, 2024, and 2025.</w:t>
      </w:r>
    </w:p>
    <w:p>
      <w:pPr>
        <w:spacing w:after="0" w:line="174"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conducts its business through various contractual arrangements.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Revenue recognition (Continued)</w:t>
      </w:r>
    </w:p>
    <w:p>
      <w:pPr>
        <w:spacing w:after="0" w:line="211" w:lineRule="exact"/>
        <w:rPr>
          <w:rFonts w:ascii="Times New Roman" w:cs="Times New Roman" w:eastAsia="Times New Roman" w:hAnsi="Times New Roman"/>
          <w:sz w:val="17"/>
          <w:szCs w:val="17"/>
          <w:b w:val="1"/>
          <w:bCs w:val="1"/>
          <w:i w:val="1"/>
          <w:iCs w:val="1"/>
          <w:color w:val="auto"/>
        </w:rPr>
      </w:pPr>
    </w:p>
    <w:p>
      <w:pPr>
        <w:ind w:left="1220" w:hanging="614"/>
        <w:spacing w:after="0"/>
        <w:tabs>
          <w:tab w:leader="none" w:pos="122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to Xiaomi</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generated a substantial portion of its revenues from sales of products to Xiaomi.</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Under the cooperation agreement entered into between the Group and Xiaomi, the Group is responsible for design, research, development, production, and delivery of designated products using the brand name of “Xiaomi” (“Xiaomi-branded products”). Xiaomi is responsible for commercial distributions and sales.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Revenue is recognized upon acceptance by this customer, which is considered at the time the control of the products is transferred to Xiaomi. Revenue does not meet the criteria to be recognized over time since 1) even if the products use “Xiaomi” brand, it does not require significant rework to make them suitable to be sold to other customers, 2) under the cooperation agreement, the Group does not have the right of payment for the work performed to date.</w:t>
      </w:r>
    </w:p>
    <w:p>
      <w:pPr>
        <w:spacing w:after="0" w:line="169" w:lineRule="exact"/>
        <w:rPr>
          <w:sz w:val="20"/>
          <w:szCs w:val="20"/>
          <w:color w:val="auto"/>
        </w:rPr>
      </w:pPr>
    </w:p>
    <w:p>
      <w:pPr>
        <w:jc w:val="both"/>
        <w:ind w:left="600"/>
        <w:spacing w:after="0" w:line="268" w:lineRule="auto"/>
        <w:rPr>
          <w:sz w:val="20"/>
          <w:szCs w:val="20"/>
          <w:color w:val="auto"/>
        </w:rPr>
      </w:pPr>
      <w:r>
        <w:rPr>
          <w:rFonts w:ascii="Times New Roman" w:cs="Times New Roman" w:eastAsia="Times New Roman" w:hAnsi="Times New Roman"/>
          <w:sz w:val="16"/>
          <w:szCs w:val="16"/>
          <w:color w:val="auto"/>
        </w:rPr>
        <w:t>For a majority of types of products sold to this customer, the selling price is a fixed amount as agreed by both parties. For other types of products sold to this customer, the sales arrangement includes two installment payments. The first installment is priced to recover the costs incurred by the Group in developing, producing, and shipping the products to this customer and is payable to the Group upon acceptance by the customer after delivery. The Group is also entitled to receive a potential second installment payment calculated as certain portion of the future gross profits from commercial sales made by this customer. Accordingly, the Group determines the sales price as the fixed first installment payment plus the variable second installment payment to the extent that it is probable that revenue reversal will not occur when settling with the customer subsequently. The Group estimates the variable consideration using the expected value method. In assessing the variable second installment payment, the Group takes into consideration of the historical experience with the customer, selling price of the same or similar products as at the report date as well as the recent market trend. For the years ended December 31, 2023, 2024, and 2025, net revenues earned from second installment payment arrangement represented 3.4%, 10.5% and 10.2% of total revenue from Xiaomi, respectively.</w:t>
      </w:r>
    </w:p>
    <w:p>
      <w:pPr>
        <w:spacing w:after="0" w:line="168" w:lineRule="exact"/>
        <w:rPr>
          <w:sz w:val="20"/>
          <w:szCs w:val="20"/>
          <w:color w:val="auto"/>
        </w:rPr>
      </w:pPr>
    </w:p>
    <w:p>
      <w:pPr>
        <w:ind w:left="1220" w:hanging="614"/>
        <w:spacing w:after="0" w:line="274" w:lineRule="auto"/>
        <w:tabs>
          <w:tab w:leader="none" w:pos="12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to third-party customers, including: sales to leading e-commerce platforms and offline stores; and sales to customers directly through the online platforms operated by Xiaomi, third parties and the Group.</w:t>
      </w:r>
    </w:p>
    <w:p>
      <w:pPr>
        <w:spacing w:after="0" w:line="15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Group recognizes revenue for the sales to third-party customers in accordance with the applicable revenue recognition method for each of the distinct performance obligation identified. Sales of products is recognized upon acceptance by customers after delivery. Installation services revenues are recognized when the services are rendered.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2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Revenue recognition (Continued)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 Sales to leading e-commerce platforms and offline experience stores</w:t>
      </w:r>
    </w:p>
    <w:p>
      <w:pPr>
        <w:spacing w:after="0" w:line="212"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Pursuant to the contracts between the Group and the leading e-commerce platforms/offline experience stores (“e-commerce platforms and stores”), the e-commerce platforms and stores have legal title and physical possession of the products upon acceptance and they would bear the risk of loss due to physical damage before the products are transferred and accepted by end customers. The e-commerce platforms and stores are responsible for delivering the products to end customers and can direct the use of the products and obtain the remaining benefits from the products by reselling the products. The e-commerce platforms and stores have flexibility in determining the retail sales price within relatively broad price range set by the Group. Based on these indicators, the Group determined the e-commerce platforms and stores (as opposed to the end customers) as its customers according to ASC 606-10-55-39. The Group recognizes revenue equal to the sales price to the e-commerce platforms and stores when control of the inventory is transferred.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 Sales to customers directly through the online platforms operated by Xiaomi, third parties and the Group</w:t>
      </w:r>
    </w:p>
    <w:p>
      <w:pPr>
        <w:spacing w:after="0" w:line="212"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Under the cooperation agreements entered between the Group and online platforms, the platforms’ responsibilities are limited to offering an online marketplace, while the Group is primarily obligated in a sales transaction and takes inventory risk and has latitude in determining prices. The platforms charged the Group commission fees at pre-determined amounts or a fixed rate based on the sales amounts. Commission fees are recognized as selling expenses. The Group determined the end customers (as opposed to the platforms) as its customers and recognizes revenue equal to the sales price to the end customers when control of the inventory is transferred.</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 Rendering of services</w:t>
      </w:r>
    </w:p>
    <w:p>
      <w:pPr>
        <w:spacing w:after="0" w:line="212"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The Group provides installation service to end customers for designated Viomi-branded products without separate charge. The end customers have the right, not the obligation, to ask the Group to provide installation service. The installation service is considered being distinct and accounted for as a separate performance obligation as the products and installation services are not inputs into a combined item the end customer has contracted to receive. In addition, the Group does not provide any significant integration, modification, or customization services. It can fulfill its obligation to transfer each of the products or services separately. End customers do not always exercise their rights to ask for installation services as the installation may not be complicated and could be done by end customers themselves. Therefore, the Group expects to be entitled to a breakage amount in the contract liabilities related to installation services. The Group estimates the breakage portion based on historical customers’ requests and recognizes estimated breakage as revenue in proportion to the pattern of rights exercised by end customers on a semi-annually basis. Changes in estimated breakage should be accounted for by adjusting contract liabilities to reflect the remaining rights expected to be exercised.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Revenue recognition (Continued)</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Judgment is required to determine standalone selling price for each distinct performance obligation. The Group allocates the arrangement consideration to the separate accounting of each distinct performance obligation based on their relative standalone selling price. The standalone selling price of the products is determined based on adjusted market assessment approach by estimating the price the customer is willing to pay for the product without installation service. For the standalone selling price of the installation services, the Group semi-annually determines it by using a cost-plus margin approach by referring to actual installation costs charged by the third-party vendors, plus an estimated profit margin of 5% based on consideration of both company specific and relevant market factors.</w:t>
      </w:r>
    </w:p>
    <w:p>
      <w:pPr>
        <w:spacing w:after="0" w:line="176" w:lineRule="exact"/>
        <w:rPr>
          <w:sz w:val="20"/>
          <w:szCs w:val="20"/>
          <w:color w:val="auto"/>
        </w:rPr>
      </w:pPr>
    </w:p>
    <w:p>
      <w:pPr>
        <w:ind w:left="600" w:hanging="599"/>
        <w:spacing w:after="0"/>
        <w:tabs>
          <w:tab w:leader="none" w:pos="6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returns and sales incentives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 Sales to leading e-commerce platforms</w:t>
      </w:r>
    </w:p>
    <w:p>
      <w:pPr>
        <w:spacing w:after="0" w:line="212" w:lineRule="exact"/>
        <w:rPr>
          <w:sz w:val="20"/>
          <w:szCs w:val="20"/>
          <w:color w:val="auto"/>
        </w:rPr>
      </w:pPr>
    </w:p>
    <w:p>
      <w:pPr>
        <w:jc w:val="both"/>
        <w:ind w:left="600"/>
        <w:spacing w:after="0" w:line="249" w:lineRule="auto"/>
        <w:rPr>
          <w:sz w:val="20"/>
          <w:szCs w:val="20"/>
          <w:color w:val="auto"/>
        </w:rPr>
      </w:pPr>
      <w:r>
        <w:rPr>
          <w:rFonts w:ascii="Times New Roman" w:cs="Times New Roman" w:eastAsia="Times New Roman" w:hAnsi="Times New Roman"/>
          <w:sz w:val="17"/>
          <w:szCs w:val="17"/>
          <w:color w:val="auto"/>
        </w:rPr>
        <w:t>The Group’s sales to leading e-commerce platforms started in 2018. As stipulated in the contracts, slow-moving goods are those unsold products after they are controlled by the e-commerce platforms for more than 30 days or 45 days or 60 days, depending on the different categories of products. The Group shall coordinate with the e-commerce platforms to sell the slowing-moving products to end customers through promotions within 30 or 60 days, otherwise, the e-commerce platforms can (i) return such slow-moving products, or (ii) sell on discount as determined by the e-commerce platforms. The Group shall bear all losses caused by such discounted sales. Based on the Group’s history of cooperation with the e-commerce platforms and the pattern that the e-commerce platforms dealt with slow-moving goods, the Group estimates that slow-moving goods will be returned to the Group instead of being sold through discounted sales by the e-commerce platforms. Under ASC 606, a right of return is not a separate performance obligation, but it affects the estimated transaction price for transferred goods. Revenue is only recognized for those products that are not expected to be returned. The estimate of expected returns should be determined in the same way as other variable consideration. Based on historical information and other relevant evidence, including the expected sales and inventory level of the e-commerce platforms, the Group assesses if it is probable there will be no significant reversal of cumulative revenue, and recognizes those sales as revenue. For the years ended December 31, 2023, 2024, and 2025, the expected sales return was RMB24, RMB198 and RMB114, respectively. Accordingly, the Group recognizes an expected return asset of RMB88 and RMB63 and a refund liability of RMB224 and RMB129 as of December 31, 2024 and 2025, respectively. The Group would update its estimate of expected returns at each period end. The expected return asset is presented and assessed for impairment separately from the refund liability. The Group would assess the expected return asset for impairment, and adjust the value of the asset if it becomes impaired. Further, the Group might provide various consideration to the e-commerce platforms, such as gross margin guarantee, advertising and promotion fees, in the form of cash, or directly reducing amounts owed to the Group by the e-commerce platforms. The Group evaluates each type of incentives or fees to be paid in accordance with ASC 606. Considering that the Group either does not receive any service from the e-commerce platforms or cannot elect to engage another vendor to provide similar advertising services on a standalone basis, the Group reduces the transaction price for the sale of products by the amount of various consideration payable to the e-commerce platforms.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jc w:val="both"/>
        <w:ind w:left="600" w:right="8300" w:hanging="599"/>
        <w:spacing w:after="0" w:line="528" w:lineRule="auto"/>
        <w:tabs>
          <w:tab w:leader="none" w:pos="600" w:val="left"/>
        </w:tabs>
        <w:numPr>
          <w:ilvl w:val="0"/>
          <w:numId w:val="1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Revenue recognition (Continued) </w:t>
      </w:r>
      <w:r>
        <w:rPr>
          <w:rFonts w:ascii="Times New Roman" w:cs="Times New Roman" w:eastAsia="Times New Roman" w:hAnsi="Times New Roman"/>
          <w:sz w:val="16"/>
          <w:szCs w:val="16"/>
          <w:i w:val="1"/>
          <w:iCs w:val="1"/>
          <w:color w:val="auto"/>
        </w:rPr>
        <w:t>- 7 days unconditional sales return</w:t>
      </w:r>
    </w:p>
    <w:p>
      <w:pPr>
        <w:spacing w:after="0" w:line="1"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Under the consumer protection law, end customers have an unconditional right to return the products purchased through online platforms within 7 days. The Group bases its estimates of sales return on historical results. For the years ended December 31, 2023, 2024, and 2025, the amount of sales return was insignificant. The Group may provide sales incentives in the forms of discounts to end customers through online platforms for a group of products. Revenue, recognized on a net basis after such sales incentives, are allocated based on the relative standalone selling prices for respective products.</w:t>
      </w:r>
    </w:p>
    <w:p>
      <w:pPr>
        <w:spacing w:after="0" w:line="175" w:lineRule="exact"/>
        <w:rPr>
          <w:sz w:val="20"/>
          <w:szCs w:val="20"/>
          <w:color w:val="auto"/>
        </w:rPr>
      </w:pPr>
    </w:p>
    <w:p>
      <w:pPr>
        <w:ind w:left="600" w:hanging="599"/>
        <w:spacing w:after="0"/>
        <w:tabs>
          <w:tab w:leader="none" w:pos="6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Warranty</w:t>
      </w:r>
    </w:p>
    <w:p>
      <w:pPr>
        <w:spacing w:after="0" w:line="207" w:lineRule="exact"/>
        <w:rPr>
          <w:rFonts w:ascii="Times New Roman" w:cs="Times New Roman" w:eastAsia="Times New Roman" w:hAnsi="Times New Roman"/>
          <w:sz w:val="17"/>
          <w:szCs w:val="17"/>
          <w:color w:val="auto"/>
        </w:rPr>
      </w:pPr>
    </w:p>
    <w:p>
      <w:pPr>
        <w:jc w:val="both"/>
        <w:ind w:left="6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offers product warranty pursuant to standard product quality required by consumer protection law. The warranty period is calculated starting from the date when products are sold to the end customers. The Group has the obligation, at the customer’s sole discretion, to either repair or replace the defective product. The customers cannot separately purchase the warranty and the warranty doesn’t provide the customer with additional service other than assurance that the product will function as expected. Therefore, these warranties are accounted for in accordance with ASC 460 Guarantees. At the time revenue is recognized, an estimate of warranty expenses is recorded. The reserves established are regularly monitored based upon historical experience and any actual claims charged against the reserve. Warranty reserves are recorded as cost of revenues.</w:t>
      </w:r>
    </w:p>
    <w:p>
      <w:pPr>
        <w:spacing w:after="0" w:line="175"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added taxes</w:t>
      </w:r>
    </w:p>
    <w:p>
      <w:pPr>
        <w:spacing w:after="0" w:line="207" w:lineRule="exact"/>
        <w:rPr>
          <w:rFonts w:ascii="Times New Roman" w:cs="Times New Roman" w:eastAsia="Times New Roman" w:hAnsi="Times New Roman"/>
          <w:sz w:val="17"/>
          <w:szCs w:val="17"/>
          <w:color w:val="auto"/>
        </w:rPr>
      </w:pPr>
    </w:p>
    <w:p>
      <w:pPr>
        <w:ind w:left="6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added taxes (“VAT”) on sales is calculated at 13% after April 1, 2019. The Group reports revenue net of VAT. Subsidiaries and VIEs that are VAT general taxpayers are allowed to offset qualified VAT paid against their output VAT liabilities.</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balances</w:t>
      </w:r>
    </w:p>
    <w:p>
      <w:pPr>
        <w:spacing w:after="0" w:line="207" w:lineRule="exact"/>
        <w:rPr>
          <w:rFonts w:ascii="Times New Roman" w:cs="Times New Roman" w:eastAsia="Times New Roman" w:hAnsi="Times New Roman"/>
          <w:sz w:val="17"/>
          <w:szCs w:val="17"/>
          <w:color w:val="auto"/>
        </w:rPr>
      </w:pPr>
    </w:p>
    <w:p>
      <w:pPr>
        <w:jc w:val="both"/>
        <w:ind w:left="6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customers, including Xiaomi and third-party customers, are entitled to a credit term. The expected length of time between the products being transferred to customers and when they pay for those products is short. There is no difference between the amount of promised consideration and the cash selling price of the promised products. Therefore, the Group concludes that the contracts with these key customers generally do not include a significant financing component. The allowance for credit losses reflects the Group’s best estimate of probable losses inherent in the accounts receivable balance. The Group determines the allowance based on known troubled accounts, historical experience, and other currently available evidence. The amount of the allowance for credit losses is recognized as expenses.</w:t>
      </w:r>
    </w:p>
    <w:p>
      <w:pPr>
        <w:spacing w:after="0" w:line="175"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2024 and 2025 accounts and notes receivable were RMB626,290 and RMB371,458, respectively. During the years ended December 31, 2024 and 2025, the Group recognized impairments, net of recoveries, for accounts receivable from customers amounted to RMB1,306 and RMB2,927, respectively.</w:t>
      </w:r>
    </w:p>
    <w:p>
      <w:pPr>
        <w:spacing w:after="0" w:line="169"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does not have contract assets as of December 31, 2024 and 2025. Contract liabilities consist of deferred revenue related to the Group’s provision of installation services, where there is still an obligation to be fulfilled by the Group. The contract liabilities will be recognized as revenue when all of the revenue recognition criteria are met.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Revenue recognition (Continued)</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 of December 31, 2024 and 2025, deferred revenue were RMB1,864 and RMB416, respectively. During the years ended December 31, 2024 and 2025, the Group recognized revenue of installation services amounted to RMB1,763 and RMB1,864, respectively, that was included in the corresponding contract liability balance at the beginning of the years. The Group expects to recognize RMB416 of the unearned amount for the Group’s remaining performance obligations related to installation services in 2026. During the years ended December 31, 2024 and 2025, the Group does not have any arrangement where the performance obligations have already been satisfied in the past period, but the corresponding revenue is only recognized in a later period.</w:t>
      </w:r>
    </w:p>
    <w:p>
      <w:pPr>
        <w:spacing w:after="0" w:line="171"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Cost of revenues</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Cost of revenues consists primarily of material costs, warranty, consignment manufacturing cost, salaries and benefits for staff engaged in production activities and related expenses that are directly attributable to the production of products.</w:t>
      </w:r>
    </w:p>
    <w:p>
      <w:pPr>
        <w:spacing w:after="0" w:line="154"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Research and development expenses primarily consist of salaries and benefits as well as share-based compensation for research and development personnel, materials, general expenses and depreciation expenses associated with research and development activities.</w:t>
      </w:r>
    </w:p>
    <w:p>
      <w:pPr>
        <w:spacing w:after="0" w:line="154"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Selling and marketing expenses consist primarily of (i) advertising and market promotion expenses, (ii) shipping expenses and (iii) salaries and welfare for sales and marketing personnel. The advertising and market promotion expenses amounted to RMB62,107, RMB53,234 and RMB95,462 for the years ended December 31, 2023, 2024, and 2025, respectively. The shipping expenses amounted to RMB66,870, RMB50,416 and RMB43,670 for the years ended December 31, 2023, 2024, and 2025, respectively.</w:t>
      </w:r>
    </w:p>
    <w:p>
      <w:pPr>
        <w:spacing w:after="0" w:line="170"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General and administrative expenses consist primarily of (i) salaries and welfare for general and administrative personnel, (ii) professional services expenses, (iii) share-based compensation for management and administrative personnel, and (iv) rental expenses.</w:t>
      </w:r>
    </w:p>
    <w:p>
      <w:pPr>
        <w:spacing w:after="0" w:line="154"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Government subsidies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Government subsidies represent tax refund and government grants received from local government authorities to encourage the Group’s technology and innovation. The Group records such government subsidies as other income in the consolidated statements of comprehensive (loss) income when it has fulfilled all of its obligation related to the subsidy. The Group recorded RMB8,641, RMB36,213 and RMB28,272 of subsidy income for the years ended December 31, 2023, 2024, and 2025, respectively.</w:t>
      </w:r>
    </w:p>
    <w:p>
      <w:pPr>
        <w:spacing w:after="0" w:line="170"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Employee benefits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of the Group make contributions to the government for these benefits based on certain percentages of the employees’ salaries, up to a maximum amount specified by the local government. The Group has no legal obligation for the benefits beyond the contributions made. The total amounts of such employee benefit expenses, which were expensed as incurred, were approximately RMB18,857, RMB14,188 and RMB25,565 for the years ended December 31, 2023, 2024, and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3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Share-based compensation expenses arise from share-based awards, mainly including share options for the purchase of ordinary shares for the periods presented. The Group accounts for share-based awards granted to the employees in accordance with ASC 718 Stock Compensation.</w:t>
      </w:r>
    </w:p>
    <w:p>
      <w:pPr>
        <w:spacing w:after="0" w:line="158"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share options for the purchase of ordinary shares granted to employees determined to be equity classified awards, the related share-based compensation expenses are recognized in the consolidated financial statements based on their grant date fair values which are calculated using the binomial option pricing model. The determination of the fair value is affected by the share price as well as assumptions regarding a number of complex and subjective variables, including the expected share price volatility, actual and projected employee share option exercise behavior, risk-free interest rates and expected dividends. Share-based compensation expenses are recorded net of estimated forfeitures using graded-vesting method during the service period requirement, such that expenses are recorded only for those share-based awards that are expected to ultimately vest.</w:t>
      </w:r>
    </w:p>
    <w:p>
      <w:pPr>
        <w:spacing w:after="0" w:line="172" w:lineRule="exact"/>
        <w:rPr>
          <w:sz w:val="20"/>
          <w:szCs w:val="20"/>
          <w:color w:val="auto"/>
        </w:rPr>
      </w:pPr>
    </w:p>
    <w:p>
      <w:pPr>
        <w:ind w:left="600" w:hanging="599"/>
        <w:spacing w:after="0"/>
        <w:tabs>
          <w:tab w:leader="none" w:pos="600" w:val="left"/>
        </w:tabs>
        <w:numPr>
          <w:ilvl w:val="0"/>
          <w:numId w:val="13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Current expected credit losses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0"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Group’s accounts and notes receivable and other receivables from related parties and third parties are within the scope of ASC Topic 326. The Group has identified the relevant risk characteristics of its customers and the related accounts and notes receivable and other receivables based on their credit rating.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payment terms offered in the normal course of business to customers and industry-specific factors that could impact the Group’s receivables. Additionally, macroeconomic factors are also considered. This is assessed at each period based on the Group’s specific facts and circumstances. For the years ended December 31, 2023, 2024, and 2025, the Group recorded expected credit losses of RMB2,563, RMB(4,360), and RMB(1,288), respectively in general and administrative expenses. As of December 31, 2024 and 2025, the expected credit loss provision for the accounts and notes receivable and other receivables is RMB10,965 and RMB6,750, respectively. The decrease is primarily attributable to the reversal of allowance for expected credit loss.</w:t>
      </w:r>
    </w:p>
    <w:p>
      <w:pPr>
        <w:spacing w:after="0" w:line="182"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following table summarizes the activity in the allowance for credit losses related to accounts and notes receivable and other receivables from related parties for the years ended December 31, 2024 and 2025:</w:t>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Balance at beginning of the year</w:t>
      </w:r>
    </w:p>
    <w:p>
      <w:pPr>
        <w:spacing w:after="0" w:line="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Current year provision</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Reversals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Write-off</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p>
      <w:pPr>
        <w:spacing w:after="0" w:line="200" w:lineRule="exact"/>
        <w:rPr>
          <w:sz w:val="20"/>
          <w:szCs w:val="20"/>
          <w:color w:val="auto"/>
        </w:rPr>
      </w:pPr>
    </w:p>
    <w:p>
      <w:pPr>
        <w:spacing w:after="0" w:line="316" w:lineRule="exact"/>
        <w:rPr>
          <w:sz w:val="20"/>
          <w:szCs w:val="20"/>
          <w:color w:val="auto"/>
        </w:rPr>
      </w:pPr>
    </w:p>
    <w:p>
      <w:pPr>
        <w:ind w:left="600" w:hanging="599"/>
        <w:spacing w:after="0"/>
        <w:tabs>
          <w:tab w:leader="none" w:pos="600" w:val="left"/>
        </w:tabs>
        <w:numPr>
          <w:ilvl w:val="0"/>
          <w:numId w:val="1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Income taxes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8"/>
        </w:trPr>
        <w:tc>
          <w:tcPr>
            <w:tcW w:w="1680" w:type="dxa"/>
            <w:vAlign w:val="bottom"/>
          </w:tcPr>
          <w:p>
            <w:pPr>
              <w:jc w:val="right"/>
              <w:ind w:right="556"/>
              <w:spacing w:after="0" w:line="178" w:lineRule="exact"/>
              <w:rPr>
                <w:sz w:val="20"/>
                <w:szCs w:val="20"/>
                <w:color w:val="auto"/>
              </w:rPr>
            </w:pPr>
            <w:r>
              <w:rPr>
                <w:rFonts w:ascii="Times New Roman" w:cs="Times New Roman" w:eastAsia="Times New Roman" w:hAnsi="Times New Roman"/>
                <w:sz w:val="17"/>
                <w:szCs w:val="17"/>
                <w:b w:val="1"/>
                <w:bCs w:val="1"/>
                <w:color w:val="auto"/>
              </w:rPr>
              <w:t>RMB</w:t>
            </w:r>
          </w:p>
        </w:tc>
        <w:tc>
          <w:tcPr>
            <w:tcW w:w="280" w:type="dxa"/>
            <w:vAlign w:val="bottom"/>
          </w:tcPr>
          <w:p>
            <w:pPr>
              <w:spacing w:after="0"/>
              <w:rPr>
                <w:sz w:val="15"/>
                <w:szCs w:val="15"/>
                <w:color w:val="auto"/>
              </w:rPr>
            </w:pPr>
          </w:p>
        </w:tc>
        <w:tc>
          <w:tcPr>
            <w:tcW w:w="1660" w:type="dxa"/>
            <w:vAlign w:val="bottom"/>
          </w:tcPr>
          <w:p>
            <w:pPr>
              <w:jc w:val="right"/>
              <w:ind w:right="536"/>
              <w:spacing w:after="0" w:line="178" w:lineRule="exact"/>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gridSpan w:val="2"/>
          </w:tcPr>
          <w:p>
            <w:pPr>
              <w:spacing w:after="0"/>
              <w:rPr>
                <w:sz w:val="15"/>
                <w:szCs w:val="15"/>
                <w:color w:val="auto"/>
              </w:rPr>
            </w:pPr>
          </w:p>
        </w:tc>
      </w:tr>
      <w:tr>
        <w:trPr>
          <w:trHeight w:val="202"/>
        </w:trPr>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16,631</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10,965</w:t>
            </w:r>
          </w:p>
        </w:tc>
      </w:tr>
      <w:tr>
        <w:trPr>
          <w:trHeight w:val="202"/>
        </w:trPr>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264</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1,522</w:t>
            </w:r>
          </w:p>
        </w:tc>
        <w:tc>
          <w:tcPr>
            <w:tcW w:w="40" w:type="dxa"/>
            <w:vAlign w:val="bottom"/>
          </w:tcPr>
          <w:p>
            <w:pPr>
              <w:spacing w:after="0"/>
              <w:rPr>
                <w:sz w:val="17"/>
                <w:szCs w:val="17"/>
                <w:color w:val="auto"/>
              </w:rPr>
            </w:pPr>
          </w:p>
        </w:tc>
      </w:tr>
      <w:tr>
        <w:trPr>
          <w:trHeight w:val="202"/>
        </w:trPr>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(4,624)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(2,810)</w:t>
            </w:r>
          </w:p>
        </w:tc>
      </w:tr>
      <w:tr>
        <w:trPr>
          <w:trHeight w:val="231"/>
        </w:trPr>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(1,306)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(2,927)</w:t>
            </w:r>
          </w:p>
        </w:tc>
      </w:tr>
      <w:tr>
        <w:trPr>
          <w:trHeight w:val="207"/>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10,965</w:t>
            </w:r>
          </w:p>
        </w:tc>
        <w:tc>
          <w:tcPr>
            <w:tcW w:w="280" w:type="dxa"/>
            <w:vAlign w:val="bottom"/>
          </w:tcPr>
          <w:p>
            <w:pPr>
              <w:spacing w:after="0"/>
              <w:rPr>
                <w:sz w:val="18"/>
                <w:szCs w:val="18"/>
                <w:color w:val="auto"/>
              </w:rPr>
            </w:pPr>
          </w:p>
        </w:tc>
        <w:tc>
          <w:tcPr>
            <w:tcW w:w="1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6,750</w:t>
            </w:r>
          </w:p>
        </w:tc>
        <w:tc>
          <w:tcPr>
            <w:tcW w:w="40" w:type="dxa"/>
            <w:vAlign w:val="bottom"/>
          </w:tcPr>
          <w:p>
            <w:pPr>
              <w:spacing w:after="0"/>
              <w:rPr>
                <w:sz w:val="18"/>
                <w:szCs w:val="18"/>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-687705</wp:posOffset>
            </wp:positionV>
            <wp:extent cx="6212840" cy="128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-431800</wp:posOffset>
            </wp:positionV>
            <wp:extent cx="6212840" cy="1282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-167640</wp:posOffset>
            </wp:positionV>
            <wp:extent cx="6212840" cy="152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6212840" cy="152400"/>
                    </a:xfrm>
                    <a:prstGeom prst="rect">
                      <a:avLst/>
                    </a:prstGeom>
                    <a:noFill/>
                  </pic:spPr>
                </pic:pic>
              </a:graphicData>
            </a:graphic>
          </wp:anchor>
        </w:drawing>
      </w:r>
    </w:p>
    <w:p>
      <w:pPr>
        <w:spacing w:after="0" w:line="828" w:lineRule="exact"/>
        <w:rPr>
          <w:sz w:val="20"/>
          <w:szCs w:val="20"/>
          <w:color w:val="auto"/>
        </w:rPr>
      </w:pPr>
    </w:p>
    <w:p>
      <w:pPr>
        <w:sectPr>
          <w:pgSz w:w="11900" w:h="16838" w:orient="portrait"/>
          <w:cols w:equalWidth="0" w:num="2">
            <w:col w:w="5960" w:space="720"/>
            <w:col w:w="4560"/>
          </w:cols>
          <w:pgMar w:left="320" w:top="224" w:right="339" w:bottom="1440" w:gutter="0" w:footer="0" w:header="0"/>
          <w:type w:val="continuous"/>
        </w:sectPr>
      </w:pPr>
    </w:p>
    <w:p>
      <w:pPr>
        <w:spacing w:after="0" w:line="12"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income in the period of change. A valuation allowance is provided to reduce the amount of deferred tax assets if it is considered more likely than not that some portion of, or all of the deferred tax assets will not be realized.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right="8840" w:hanging="599"/>
        <w:spacing w:after="0" w:line="528" w:lineRule="auto"/>
        <w:tabs>
          <w:tab w:leader="none" w:pos="600" w:val="left"/>
        </w:tabs>
        <w:numPr>
          <w:ilvl w:val="0"/>
          <w:numId w:val="13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Income taxes (Continued) </w:t>
      </w:r>
      <w:r>
        <w:rPr>
          <w:rFonts w:ascii="Times New Roman" w:cs="Times New Roman" w:eastAsia="Times New Roman" w:hAnsi="Times New Roman"/>
          <w:sz w:val="16"/>
          <w:szCs w:val="16"/>
          <w:i w:val="1"/>
          <w:iCs w:val="1"/>
          <w:color w:val="auto"/>
        </w:rPr>
        <w:t>Uncertain tax positions</w:t>
      </w:r>
    </w:p>
    <w:p>
      <w:pPr>
        <w:spacing w:after="0" w:line="1" w:lineRule="exact"/>
        <w:rPr>
          <w:rFonts w:ascii="Times New Roman" w:cs="Times New Roman" w:eastAsia="Times New Roman" w:hAnsi="Times New Roman"/>
          <w:sz w:val="16"/>
          <w:szCs w:val="16"/>
          <w:b w:val="1"/>
          <w:bCs w:val="1"/>
          <w:i w:val="1"/>
          <w:iCs w:val="1"/>
          <w:color w:val="auto"/>
        </w:rPr>
      </w:pPr>
    </w:p>
    <w:p>
      <w:pPr>
        <w:jc w:val="both"/>
        <w:ind w:left="600"/>
        <w:spacing w:after="0" w:line="251"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The guidance on accounting for uncertainties in income taxes prescribes a more likely than not threshold for financial statement recognition and measurement of a tax position taken or expected to be taken in a tax return. Guidance was also provided on the 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consolidated statements of comprehensive (loss) income. The Group did not recognize any interest and penalties associated with uncertain tax positions for the years ended December 31, 2023, 2024, and 2025. As of December 31, 2024 and 2025, the Group did not have any significant unrecognized uncertain tax positions.</w:t>
      </w:r>
    </w:p>
    <w:p>
      <w:pPr>
        <w:spacing w:after="0" w:line="176" w:lineRule="exact"/>
        <w:rPr>
          <w:rFonts w:ascii="Times New Roman" w:cs="Times New Roman" w:eastAsia="Times New Roman" w:hAnsi="Times New Roman"/>
          <w:sz w:val="16"/>
          <w:szCs w:val="16"/>
          <w:b w:val="1"/>
          <w:bCs w:val="1"/>
          <w:i w:val="1"/>
          <w:iCs w:val="1"/>
          <w:color w:val="auto"/>
        </w:rPr>
      </w:pPr>
    </w:p>
    <w:p>
      <w:pPr>
        <w:ind w:left="600" w:hanging="599"/>
        <w:spacing w:after="0"/>
        <w:tabs>
          <w:tab w:leader="none" w:pos="600" w:val="left"/>
        </w:tabs>
        <w:numPr>
          <w:ilvl w:val="0"/>
          <w:numId w:val="13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Comprehensive (loss) income</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Comprehensive (loss) income consists of two components, net (loss) income and other comprehensive (loss) income, net of tax. Other comprehensive (loss) income refers to revenue, expenses, and gains and losses that are recorded as an element of shareholders’ equity but are excluded from net (loss) income. The Group’s other comprehensive income consists of foreign currency translation adjustments from its entities not using the RMB as their functional currency. Comprehensive (loss) income is reported in the consolidated statements of comprehensive (loss) income.</w:t>
      </w:r>
    </w:p>
    <w:p>
      <w:pPr>
        <w:spacing w:after="0" w:line="170"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3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Statutory reserves</w:t>
      </w:r>
    </w:p>
    <w:p>
      <w:pPr>
        <w:spacing w:after="0" w:line="211" w:lineRule="exact"/>
        <w:rPr>
          <w:rFonts w:ascii="Times New Roman" w:cs="Times New Roman" w:eastAsia="Times New Roman" w:hAnsi="Times New Roman"/>
          <w:sz w:val="17"/>
          <w:szCs w:val="17"/>
          <w:b w:val="1"/>
          <w:bCs w:val="1"/>
          <w:i w:val="1"/>
          <w:iCs w:val="1"/>
          <w:color w:val="auto"/>
        </w:rPr>
      </w:pPr>
    </w:p>
    <w:p>
      <w:pPr>
        <w:ind w:left="6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Company’s subsidiaries and VIEs established in the PRC are required to make appropriations to certain non-distributable reserve funds.</w:t>
      </w:r>
    </w:p>
    <w:p>
      <w:pPr>
        <w:spacing w:after="0" w:line="207"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accordance with the laws applicable to the Foreign Investment Enterprises established in the PRC, the Company’s subsidiaries registered as wholly-owned foreign enterprise have to make appropriations from their annual after-tax profits (as determined under generally accepted accounting principles in the PRC (“PRC GAAP) to reserve funds including general reserve fund, enterprise expansion fund and staff bonus and welfare fund. The appropriation to the general reserve fund must be at least 10% of the annual after-tax profits calculated in accordance with PRC GAAP. Appropriation is not required if the general reserve fund has reached 50% of the registered capital of the company. Appropriations to the enterprise expansion fund and staff bonus and welfare fund are made at the respective company’s discretion.</w:t>
      </w:r>
    </w:p>
    <w:p>
      <w:pPr>
        <w:spacing w:after="0" w:line="175"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addition, in accordance with the PRC Company Laws, the Group’s VIEs registered as Chinese domestic company must make appropriations from its annual after-tax profits as determined under the PRC GAAP to non-distributable reserve funds including statutory surplus fund and discretionary surplus fund. The appropriation to the statutory surplus fund must be 10% of the annual after-tax profits as determined under PRC GAAP. Appropriation is not required if the statutory surplus fund has reached 50% of the registered capital of the company. Appropriation to the discretionary surplus fund is made at the discretion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4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Statutory reserves (Continued)</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use of the general reserve fund, enterprise expansion fund, statutory surplus fund and discretionary surplus fund are restricted to offsetting of losses or increasing of the registered capital of the respective company. The staff bonus and welfare fund are a liability in nature and is restricted to fund payments of special bonus to employees and for the collective welfare of all employees. None of these reserves are allowed to be transferred to the Company in terms of cash dividends, loans or advances, nor can they be distributed except under liquidation.</w:t>
      </w:r>
    </w:p>
    <w:p>
      <w:pPr>
        <w:spacing w:after="0" w:line="174"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appropriations to statutory reserve funds amounted to nil and RMB26,493 during the years ended December 2024 and 2025. Statutory reserve funds amounting to RMB12,517 and RMB39,010 were recognized in additional paid-in capital as of December 31, 2024 and 2025, respectively.</w:t>
      </w:r>
    </w:p>
    <w:p>
      <w:pPr>
        <w:spacing w:after="0" w:line="154"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4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Income per share</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Basic income per share is computed by dividing net income attributable to ordinary shareholders by the weighted average number of ordinary shares outstanding during the period using the two-class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the losses.</w:t>
      </w:r>
    </w:p>
    <w:p>
      <w:pPr>
        <w:spacing w:after="0" w:line="174"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Diluted income per share is calculated by dividing net income attributable to ordinary shareholders, as adjusted for the effect of dilutive ordinary equivalent shares, if any, by the weighted average number of ordinary and dilutive ordinary equivalent shares outstanding during the period. Ordinary equivalent shares consist of ordinary shares issuable upon the exercise of share options using the treasury stock method. Ordinary equivalent shares are not included in the denominator of the diluted income per share calculation when inclusion of such shares would be anti-dilutive.</w:t>
      </w:r>
    </w:p>
    <w:p>
      <w:pPr>
        <w:spacing w:after="0" w:line="170"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4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Related parties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65"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4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Discontinued operations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accordance with ASU No. 2014-08, Reporting Discontinued Operations and Disclosures of Disposals of Components of an Entity, a disposal of a component of an entity or a group of components of an entity is required to be reported as discontinued operations if the disposal represents a strategic shift that has (or will have) a major effect on an entity’s operations and financial results when the components of an entity meets the criteria in paragraph 205-20-45-1E to be classified as held for sale. When all of the criteria to be classified as held for sale are met, including management, having the authority to approve the action, commits to a plan to sell the entity, the major current assets, other assets, current liabilities, and non-current liabilities shall be reported as components of total assets and liabilities separate from those balances of the continuing operations. At the same time, the results of all discontinued operations, less applicable income taxes benefit, shall be reported as a component of net loss separate from the net loss of continuing operations in accordance with ASC 205-20-45. For a component that meets the criteria of discontinued operations, the historical financial results are reflected in the Group’s consolidated financial statements as discontinued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4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Segment reporting</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Group adopted this ASU commencing January 1, 2024 which was applied retrospectively to all prior periods presented, and the adoption of the ASU did not have a material impact on the Group’s consolidated financial statements.</w:t>
      </w:r>
    </w:p>
    <w:p>
      <w:pPr>
        <w:spacing w:after="0" w:line="175" w:lineRule="exact"/>
        <w:rPr>
          <w:rFonts w:ascii="Times New Roman" w:cs="Times New Roman" w:eastAsia="Times New Roman" w:hAnsi="Times New Roman"/>
          <w:sz w:val="17"/>
          <w:szCs w:val="17"/>
          <w:b w:val="1"/>
          <w:bCs w:val="1"/>
          <w:i w:val="1"/>
          <w:iCs w:val="1"/>
          <w:color w:val="auto"/>
        </w:rPr>
      </w:pPr>
    </w:p>
    <w:p>
      <w:pPr>
        <w:jc w:val="both"/>
        <w:ind w:left="600"/>
        <w:spacing w:after="0" w:line="25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ASC Topic 280, “Segment Reporting,” requires use of the “management approach” model for segment reporting. The management approach model is based on the way a company’s Chief Operating Decision Maker (“CODM”) organizes segments within the Group for making operating decisions assessing performance and allocating resources. Reportable segments are based on products and services, geography, legal structure, management structure, or any other manner in which management disaggregates a company. The Group’s CODM has been identified as the Chairman of the Board of Directors/CEO, who reviews consolidated results including revenue, gross profit and operating profit at a consolidated level only. The Group does not distinguish between products and services for the purpose of making decisions about resources allocation and performance assessment. Therefore, the Group has only one operating segment and one reportable segment. Management determined the Group’s operations constitute a single reportable segment. This reflects the fact that the Group’s CODM continues to evaluate its financial information and resources, and continues to assess the performance of these resources, on a consolidated basis. All required financial segment information is therefore included in the Group’s consolidated financial statements.</w:t>
      </w:r>
    </w:p>
    <w:p>
      <w:pPr>
        <w:spacing w:after="0" w:line="173" w:lineRule="exact"/>
        <w:rPr>
          <w:rFonts w:ascii="Times New Roman" w:cs="Times New Roman" w:eastAsia="Times New Roman" w:hAnsi="Times New Roman"/>
          <w:sz w:val="17"/>
          <w:szCs w:val="17"/>
          <w:b w:val="1"/>
          <w:bCs w:val="1"/>
          <w:i w:val="1"/>
          <w:iCs w:val="1"/>
          <w:color w:val="auto"/>
        </w:rPr>
      </w:pPr>
    </w:p>
    <w:p>
      <w:pPr>
        <w:ind w:left="600" w:right="6960" w:hanging="599"/>
        <w:spacing w:after="0" w:line="528" w:lineRule="auto"/>
        <w:tabs>
          <w:tab w:leader="none" w:pos="600" w:val="left"/>
        </w:tabs>
        <w:numPr>
          <w:ilvl w:val="0"/>
          <w:numId w:val="14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Recently issued accounting pronouncements Recently issued accounting pronouncements adopted</w:t>
      </w:r>
    </w:p>
    <w:p>
      <w:pPr>
        <w:spacing w:after="0" w:line="1" w:lineRule="exact"/>
        <w:rPr>
          <w:rFonts w:ascii="Times New Roman" w:cs="Times New Roman" w:eastAsia="Times New Roman" w:hAnsi="Times New Roman"/>
          <w:sz w:val="16"/>
          <w:szCs w:val="16"/>
          <w:b w:val="1"/>
          <w:bCs w:val="1"/>
          <w:i w:val="1"/>
          <w:iCs w:val="1"/>
          <w:color w:val="auto"/>
        </w:rPr>
      </w:pPr>
    </w:p>
    <w:p>
      <w:pPr>
        <w:jc w:val="both"/>
        <w:ind w:left="600"/>
        <w:spacing w:after="0" w:line="254"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The Group adopted ASU No. 2023-09 from the annual period beginning from January 1, 2025. The adoption of this standard did not have a material impact to its consolidated financial statements.</w:t>
      </w:r>
    </w:p>
    <w:p>
      <w:pPr>
        <w:spacing w:after="0" w:line="171" w:lineRule="exact"/>
        <w:rPr>
          <w:rFonts w:ascii="Times New Roman" w:cs="Times New Roman" w:eastAsia="Times New Roman" w:hAnsi="Times New Roman"/>
          <w:sz w:val="16"/>
          <w:szCs w:val="16"/>
          <w:b w:val="1"/>
          <w:bCs w:val="1"/>
          <w:i w:val="1"/>
          <w:iCs w:val="1"/>
          <w:color w:val="auto"/>
        </w:rPr>
      </w:pPr>
    </w:p>
    <w:p>
      <w:pPr>
        <w:ind w:left="60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211" w:lineRule="exact"/>
        <w:rPr>
          <w:rFonts w:ascii="Times New Roman" w:cs="Times New Roman" w:eastAsia="Times New Roman" w:hAnsi="Times New Roman"/>
          <w:sz w:val="16"/>
          <w:szCs w:val="16"/>
          <w:b w:val="1"/>
          <w:bCs w:val="1"/>
          <w:i w:val="1"/>
          <w:iCs w:val="1"/>
          <w:color w:val="auto"/>
        </w:rPr>
      </w:pPr>
    </w:p>
    <w:p>
      <w:pPr>
        <w:jc w:val="both"/>
        <w:ind w:left="600"/>
        <w:spacing w:after="0" w:line="27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In November 2024, the FASB issued ASU No. 2024-03, “Income Statement - Reporting Comprehensive Income - Expense Disaggregation Disclosures. This ASU requires entities to 1. disclose amounts of (a) purchase of inventory, (b) employee compensation, (c) depreciation, (d) intangible asset amortization, and,</w:t>
      </w:r>
    </w:p>
    <w:p>
      <w:pPr>
        <w:jc w:val="both"/>
        <w:ind w:left="600"/>
        <w:spacing w:after="0" w:line="248"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7"/>
          <w:szCs w:val="17"/>
          <w:color w:val="auto"/>
        </w:rPr>
        <w:t>(e) depreciation, depletion, and amortization recognized as part of oil-and gas-producing activities, 2. include certain amounts that are already required to be disclosed under current Generally Accepted Accounting Principles in the same disclosures as other disaggregation requirements, 3. disclose a qualitative description of the amounts remaining in relevant expense captions that are not necessarily disaggregated quantitatively, and 4. disclose the total amount of selling expenses, in annual reporting periods, an entity’s definition of selling expense. The ASU is effective for annual reporting periods beginning after December 15, 2026 and interim reporting periods beginning after December 15, 2027. Additionally, in January 2025, the FASB issued ASU No.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Group plans to adopt this guidance effective January 1, 2027 and the Group is currently evaluating the impact of adopting this ASU on its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(Continued)</w:t>
      </w:r>
    </w:p>
    <w:p>
      <w:pPr>
        <w:spacing w:after="0" w:line="208" w:lineRule="exact"/>
        <w:rPr>
          <w:sz w:val="20"/>
          <w:szCs w:val="20"/>
          <w:color w:val="auto"/>
        </w:rPr>
      </w:pPr>
    </w:p>
    <w:p>
      <w:pPr>
        <w:ind w:left="600" w:hanging="599"/>
        <w:spacing w:after="0"/>
        <w:tabs>
          <w:tab w:leader="none" w:pos="600" w:val="left"/>
        </w:tabs>
        <w:numPr>
          <w:ilvl w:val="0"/>
          <w:numId w:val="14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Recently issued accounting pronouncements (Continued)</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July 2025, the FASB issued ASU No. 2025-05, Financial Instruments—Credit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The Group plans to adopt this guidance effective January 1, 2026 and the Group is currently evaluating the impact of adopting this ASU on its consolidated financial statements.</w:t>
      </w:r>
    </w:p>
    <w:p>
      <w:pPr>
        <w:spacing w:after="0" w:line="175" w:lineRule="exact"/>
        <w:rPr>
          <w:rFonts w:ascii="Times New Roman" w:cs="Times New Roman" w:eastAsia="Times New Roman" w:hAnsi="Times New Roman"/>
          <w:sz w:val="17"/>
          <w:szCs w:val="17"/>
          <w:b w:val="1"/>
          <w:bCs w:val="1"/>
          <w:i w:val="1"/>
          <w:iCs w:val="1"/>
          <w:color w:val="auto"/>
        </w:rPr>
      </w:pPr>
    </w:p>
    <w:p>
      <w:pPr>
        <w:jc w:val="both"/>
        <w:ind w:left="600"/>
        <w:spacing w:after="0" w:line="25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November 2025, the FASB issued ASU 2025-08, Financial Instruments—Credit Losses (Topic 326): Purchased Loans (ASU 2025-08). The amendments expand the population of acquired loans subject to the gross-up approach, treating non-credit-deteriorated loans (excluding credit cards) as “seasoned” if purchased at least 90 days after origination or acquired in a business combination. ASU 2025-08 is effective for annual reporting periods beginning after December 15, 2026 and interim reporting periods within those annual reporting periods, and the Group is currently evaluating the impact of adopting this ASU on its consolidated financial statements.</w:t>
      </w:r>
    </w:p>
    <w:p>
      <w:pPr>
        <w:spacing w:after="0" w:line="175" w:lineRule="exact"/>
        <w:rPr>
          <w:rFonts w:ascii="Times New Roman" w:cs="Times New Roman" w:eastAsia="Times New Roman" w:hAnsi="Times New Roman"/>
          <w:sz w:val="17"/>
          <w:szCs w:val="17"/>
          <w:b w:val="1"/>
          <w:bCs w:val="1"/>
          <w:i w:val="1"/>
          <w:iCs w:val="1"/>
          <w:color w:val="auto"/>
        </w:rPr>
      </w:pPr>
    </w:p>
    <w:p>
      <w:pPr>
        <w:jc w:val="both"/>
        <w:ind w:left="600"/>
        <w:spacing w:after="0" w:line="253"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December 2025, the FASB issued ASU 2025-10, Government Grants (Topic 832): Accounting for Government Grants Received by Business Entities (ASU 2025-10), introducing U.S. GAAP guidance on the accounting for government grants for business entities. The new standard closely aligns with International Accounting Standard (IAS) 20, Accounting for Government Grants and Disclosure of Government Assistance, covering monetary and tangible nonmonetary assets received from governments while excluding exchange transactions. ASU 2025-10 is effective for annual periods beginning after December 15, 2028 (including interim periods within) and one year later for all other entities, with early adoption permitted. The Group is currently evaluating the impact of adopting this ASU on its consolidated financial statements.</w:t>
      </w:r>
    </w:p>
    <w:p>
      <w:pPr>
        <w:spacing w:after="0" w:line="176"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Recently issued ASUs by the FASB, except for the ones mentioned above, are not expected to have a significant impact on the Group’s consolidated results of operations or financial position. Other accounting standards that have been issued or proposed by FASB that do not require adoption until a future date are not expected to have a material impact on the consolidated financial statements upon adoption. The Group does not discuss recent pronouncements that are not anticipated to have an impact on or are unrelated to its consolidated financial condition, results of operations, cash flows, or disclosures.</w:t>
      </w:r>
    </w:p>
    <w:p>
      <w:pPr>
        <w:spacing w:after="0" w:line="171" w:lineRule="exact"/>
        <w:rPr>
          <w:sz w:val="20"/>
          <w:szCs w:val="20"/>
          <w:color w:val="auto"/>
        </w:rPr>
      </w:pPr>
    </w:p>
    <w:p>
      <w:pPr>
        <w:ind w:left="600" w:hanging="599"/>
        <w:spacing w:after="0"/>
        <w:tabs>
          <w:tab w:leader="none" w:pos="60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DISCONTINUED OPERATIONS</w:t>
      </w:r>
    </w:p>
    <w:p>
      <w:pPr>
        <w:spacing w:after="0" w:line="207"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Disposal of Foshan Viomi and its subsidiaries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19, 2024, the Group entered into definitive agreements with Mr. Chen, and an entity controlled by Mr. Chen (Refer to Note 1). Accordingly, the assets and liabilities of Foshan Viomi and its subsidiaries were classified as “Assets held for sale” and “Liabilities held for sale” within current and non-current assets and liabilities, respectively, on the consolidated balance sheets as of December 31, 2023. The results of operations of Foshan Viomi and its subsidiaries have been reclassified to “net loss from discontinued operations” in the consolidated statements of comprehensive (loss) income for the years ended December 31, 2023 and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DISCONTINUED OPERATIONS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tables set forth the statements of operations and cash flows of discontinued operations which were included in the Group’s consolidated financial statements for the years ended December 31, 2023 and 2024 (in thousands):</w:t>
      </w:r>
    </w:p>
    <w:p>
      <w:pPr>
        <w:spacing w:after="0" w:line="16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r>
      <w:tr>
        <w:trPr>
          <w:trHeight w:val="194"/>
        </w:trPr>
        <w:tc>
          <w:tcPr>
            <w:tcW w:w="6080" w:type="dxa"/>
            <w:vAlign w:val="bottom"/>
          </w:tcPr>
          <w:p>
            <w:pPr>
              <w:spacing w:after="0"/>
              <w:rPr>
                <w:sz w:val="16"/>
                <w:szCs w:val="16"/>
                <w:color w:val="auto"/>
              </w:rPr>
            </w:pPr>
          </w:p>
        </w:tc>
        <w:tc>
          <w:tcPr>
            <w:tcW w:w="1060" w:type="dxa"/>
            <w:vAlign w:val="bottom"/>
          </w:tcPr>
          <w:p>
            <w:pPr>
              <w:jc w:val="center"/>
              <w:ind w:lef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ind w:righ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related party</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24,434</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5,821</w:t>
            </w:r>
          </w:p>
        </w:tc>
      </w:tr>
      <w:tr>
        <w:trPr>
          <w:trHeight w:val="214"/>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parties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830,216</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293,050</w:t>
            </w:r>
          </w:p>
        </w:tc>
      </w:tr>
      <w:tr>
        <w:trPr>
          <w:trHeight w:val="194"/>
        </w:trPr>
        <w:tc>
          <w:tcPr>
            <w:tcW w:w="60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net revenues</w:t>
            </w:r>
          </w:p>
        </w:tc>
        <w:tc>
          <w:tcPr>
            <w:tcW w:w="10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854,650</w:t>
            </w:r>
          </w:p>
        </w:tc>
        <w:tc>
          <w:tcPr>
            <w:tcW w:w="280" w:type="dxa"/>
            <w:vAlign w:val="bottom"/>
          </w:tcPr>
          <w:p>
            <w:pPr>
              <w:spacing w:after="0"/>
              <w:rPr>
                <w:sz w:val="16"/>
                <w:szCs w:val="16"/>
                <w:color w:val="auto"/>
              </w:rPr>
            </w:pPr>
          </w:p>
        </w:tc>
        <w:tc>
          <w:tcPr>
            <w:tcW w:w="1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298,871</w:t>
            </w:r>
          </w:p>
        </w:tc>
        <w:tc>
          <w:tcPr>
            <w:tcW w:w="80" w:type="dxa"/>
            <w:vAlign w:val="bottom"/>
          </w:tcPr>
          <w:p>
            <w:pPr>
              <w:spacing w:after="0"/>
              <w:rPr>
                <w:sz w:val="16"/>
                <w:szCs w:val="16"/>
                <w:color w:val="auto"/>
              </w:rPr>
            </w:pPr>
          </w:p>
        </w:tc>
      </w:tr>
      <w:tr>
        <w:trPr>
          <w:trHeight w:val="214"/>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(807,146)</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(297,289)</w:t>
            </w:r>
          </w:p>
        </w:tc>
      </w:tr>
      <w:tr>
        <w:trPr>
          <w:trHeight w:val="194"/>
        </w:trPr>
        <w:tc>
          <w:tcPr>
            <w:tcW w:w="60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Gross profit</w:t>
            </w:r>
          </w:p>
        </w:tc>
        <w:tc>
          <w:tcPr>
            <w:tcW w:w="10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47,504</w:t>
            </w:r>
          </w:p>
        </w:tc>
        <w:tc>
          <w:tcPr>
            <w:tcW w:w="280" w:type="dxa"/>
            <w:vAlign w:val="bottom"/>
            <w:tcBorders>
              <w:bottom w:val="single" w:sz="8" w:color="CCEEFF"/>
            </w:tcBorders>
          </w:tcPr>
          <w:p>
            <w:pPr>
              <w:spacing w:after="0"/>
              <w:rPr>
                <w:sz w:val="16"/>
                <w:szCs w:val="16"/>
                <w:color w:val="auto"/>
              </w:rPr>
            </w:pPr>
          </w:p>
        </w:tc>
        <w:tc>
          <w:tcPr>
            <w:tcW w:w="16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1,582</w:t>
            </w:r>
          </w:p>
        </w:tc>
        <w:tc>
          <w:tcPr>
            <w:tcW w:w="80" w:type="dxa"/>
            <w:vAlign w:val="bottom"/>
            <w:tcBorders>
              <w:bottom w:val="single" w:sz="8" w:color="CCEEFF"/>
            </w:tcBorders>
          </w:tcPr>
          <w:p>
            <w:pPr>
              <w:spacing w:after="0"/>
              <w:rPr>
                <w:sz w:val="16"/>
                <w:szCs w:val="16"/>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Operating expenses: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(74,032)</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(41,245)</w:t>
            </w:r>
          </w:p>
        </w:tc>
      </w:tr>
      <w:tr>
        <w:trPr>
          <w:trHeight w:val="202"/>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(187,156)</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(54,681)</w:t>
            </w:r>
          </w:p>
        </w:tc>
      </w:tr>
      <w:tr>
        <w:trPr>
          <w:trHeight w:val="214"/>
        </w:trPr>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(24,162)</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(7,667)</w:t>
            </w:r>
          </w:p>
        </w:tc>
      </w:tr>
      <w:tr>
        <w:trPr>
          <w:trHeight w:val="207"/>
        </w:trPr>
        <w:tc>
          <w:tcPr>
            <w:tcW w:w="60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224" w:right="339" w:bottom="1440" w:gutter="0" w:footer="0" w:header="0"/>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Total operating expenses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income, net</w:t>
      </w:r>
    </w:p>
    <w:p>
      <w:pPr>
        <w:spacing w:after="0" w:line="2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Loss from operations</w:t>
      </w:r>
    </w:p>
    <w:p>
      <w:pPr>
        <w:spacing w:after="0" w:line="2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Interest and investment income, net</w:t>
      </w:r>
    </w:p>
    <w:p>
      <w:pPr>
        <w:spacing w:after="0" w:line="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non-operating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(285,350)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(103,593)</w:t>
            </w:r>
          </w:p>
        </w:tc>
      </w:tr>
      <w:tr>
        <w:trPr>
          <w:trHeight w:val="421"/>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280" w:type="dxa"/>
            <w:vAlign w:val="bottom"/>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60" w:type="dxa"/>
            <w:vAlign w:val="bottom"/>
          </w:tcPr>
          <w:p>
            <w:pPr>
              <w:spacing w:after="0"/>
              <w:rPr>
                <w:sz w:val="24"/>
                <w:szCs w:val="24"/>
                <w:color w:val="auto"/>
              </w:rPr>
            </w:pPr>
          </w:p>
        </w:tc>
      </w:tr>
      <w:tr>
        <w:trPr>
          <w:trHeight w:val="421"/>
        </w:trPr>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(229,223)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(97,691)</w:t>
            </w:r>
          </w:p>
        </w:tc>
      </w:tr>
      <w:tr>
        <w:trPr>
          <w:trHeight w:val="392"/>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13,062</w:t>
            </w:r>
          </w:p>
        </w:tc>
        <w:tc>
          <w:tcPr>
            <w:tcW w:w="280" w:type="dxa"/>
            <w:vAlign w:val="bottom"/>
          </w:tcPr>
          <w:p>
            <w:pPr>
              <w:spacing w:after="0"/>
              <w:rPr>
                <w:sz w:val="24"/>
                <w:szCs w:val="24"/>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3,846</w:t>
            </w:r>
          </w:p>
        </w:tc>
        <w:tc>
          <w:tcPr>
            <w:tcW w:w="60" w:type="dxa"/>
            <w:vAlign w:val="bottom"/>
          </w:tcPr>
          <w:p>
            <w:pPr>
              <w:spacing w:after="0"/>
              <w:rPr>
                <w:sz w:val="24"/>
                <w:szCs w:val="24"/>
                <w:color w:val="auto"/>
              </w:rPr>
            </w:pPr>
          </w:p>
        </w:tc>
      </w:tr>
      <w:tr>
        <w:trPr>
          <w:trHeight w:val="230"/>
        </w:trPr>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(1,500)</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-967740</wp:posOffset>
            </wp:positionV>
            <wp:extent cx="6212840" cy="144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212840" cy="144145"/>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-687705</wp:posOffset>
            </wp:positionV>
            <wp:extent cx="6212840" cy="144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6212840" cy="144145"/>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-407670</wp:posOffset>
            </wp:positionV>
            <wp:extent cx="6212840" cy="144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6212840" cy="144145"/>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-135255</wp:posOffset>
            </wp:positionV>
            <wp:extent cx="6212840" cy="135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6212840" cy="135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60" w:space="720"/>
            <w:col w:w="4560"/>
          </w:cols>
          <w:pgMar w:left="320" w:top="224"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668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color w:val="auto"/>
              </w:rPr>
              <w:t>Loss before income tax expenses</w:t>
            </w:r>
          </w:p>
        </w:tc>
        <w:tc>
          <w:tcPr>
            <w:tcW w:w="10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(217,661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(93,845</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60" w:type="dxa"/>
            <w:vAlign w:val="bottom"/>
          </w:tcPr>
          <w:p>
            <w:pPr>
              <w:spacing w:after="0"/>
              <w:rPr>
                <w:sz w:val="16"/>
                <w:szCs w:val="16"/>
                <w:color w:val="auto"/>
              </w:rPr>
            </w:pPr>
          </w:p>
        </w:tc>
      </w:tr>
      <w:tr>
        <w:trPr>
          <w:trHeight w:val="194"/>
        </w:trPr>
        <w:tc>
          <w:tcPr>
            <w:tcW w:w="600" w:type="dxa"/>
            <w:vAlign w:val="bottom"/>
          </w:tcPr>
          <w:p>
            <w:pPr>
              <w:spacing w:after="0"/>
              <w:rPr>
                <w:sz w:val="16"/>
                <w:szCs w:val="16"/>
                <w:color w:val="auto"/>
              </w:rPr>
            </w:pPr>
          </w:p>
        </w:tc>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Income tax credits</w:t>
            </w: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11,853</w:t>
            </w:r>
          </w:p>
        </w:tc>
        <w:tc>
          <w:tcPr>
            <w:tcW w:w="2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11,504</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60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from discontinued operations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(205,808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(82,341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4"/>
        </w:trPr>
        <w:tc>
          <w:tcPr>
            <w:tcW w:w="6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7"/>
        </w:trPr>
        <w:tc>
          <w:tcPr>
            <w:tcW w:w="6680" w:type="dxa"/>
            <w:vAlign w:val="bottom"/>
            <w:gridSpan w:val="2"/>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060" w:type="dxa"/>
            <w:vAlign w:val="bottom"/>
            <w:tcBorders>
              <w:top w:val="single" w:sz="8" w:color="auto"/>
            </w:tcBorders>
          </w:tcPr>
          <w:p>
            <w:pPr>
              <w:jc w:val="center"/>
              <w:ind w:lef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Borders>
              <w:top w:val="single" w:sz="8" w:color="auto"/>
            </w:tcBorders>
          </w:tcPr>
          <w:p>
            <w:pPr>
              <w:jc w:val="center"/>
              <w:ind w:left="5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600" w:type="dxa"/>
            <w:vAlign w:val="bottom"/>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provided by discontinued operating activities</w:t>
            </w: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w w:val="99"/>
              </w:rPr>
              <w:t>(144,547)</w:t>
            </w:r>
          </w:p>
        </w:tc>
        <w:tc>
          <w:tcPr>
            <w:tcW w:w="10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135,033</w:t>
            </w:r>
          </w:p>
        </w:tc>
        <w:tc>
          <w:tcPr>
            <w:tcW w:w="60" w:type="dxa"/>
            <w:vAlign w:val="bottom"/>
            <w:shd w:val="clear" w:color="auto" w:fill="CCEEFF"/>
          </w:tcPr>
          <w:p>
            <w:pPr>
              <w:spacing w:after="0"/>
              <w:rPr>
                <w:sz w:val="17"/>
                <w:szCs w:val="17"/>
                <w:color w:val="auto"/>
              </w:rPr>
            </w:pP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cash provided by discontinued investing activities</w:t>
            </w: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92,023</w:t>
            </w:r>
          </w:p>
        </w:tc>
        <w:tc>
          <w:tcPr>
            <w:tcW w:w="10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136,918</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discontinued financing activities</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100,000</w:t>
            </w:r>
          </w:p>
        </w:tc>
        <w:tc>
          <w:tcPr>
            <w:tcW w:w="10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(30,000)</w:t>
            </w:r>
          </w:p>
        </w:tc>
        <w:tc>
          <w:tcPr>
            <w:tcW w:w="860" w:type="dxa"/>
            <w:vAlign w:val="bottom"/>
          </w:tcPr>
          <w:p>
            <w:pPr>
              <w:spacing w:after="0"/>
              <w:rPr>
                <w:sz w:val="17"/>
                <w:szCs w:val="17"/>
                <w:color w:val="auto"/>
              </w:rPr>
            </w:pPr>
          </w:p>
        </w:tc>
      </w:tr>
      <w:tr>
        <w:trPr>
          <w:trHeight w:val="403"/>
        </w:trPr>
        <w:tc>
          <w:tcPr>
            <w:tcW w:w="6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gridSpan w:val="2"/>
          </w:tcPr>
          <w:p>
            <w:pPr>
              <w:ind w:left="4860"/>
              <w:spacing w:after="0"/>
              <w:rPr>
                <w:sz w:val="20"/>
                <w:szCs w:val="20"/>
                <w:color w:val="auto"/>
              </w:rPr>
            </w:pPr>
            <w:r>
              <w:rPr>
                <w:rFonts w:ascii="Times New Roman" w:cs="Times New Roman" w:eastAsia="Times New Roman" w:hAnsi="Times New Roman"/>
                <w:sz w:val="17"/>
                <w:szCs w:val="17"/>
                <w:color w:val="auto"/>
              </w:rPr>
              <w:t>F-32</w:t>
            </w: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4" w:right="3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CONCENTRATION AND RISKS</w:t>
      </w:r>
    </w:p>
    <w:p>
      <w:pPr>
        <w:spacing w:after="0" w:line="208" w:lineRule="exact"/>
        <w:rPr>
          <w:sz w:val="20"/>
          <w:szCs w:val="20"/>
          <w:color w:val="auto"/>
        </w:rPr>
      </w:pPr>
    </w:p>
    <w:p>
      <w:pPr>
        <w:ind w:left="600" w:hanging="599"/>
        <w:spacing w:after="0"/>
        <w:tabs>
          <w:tab w:leader="none" w:pos="600" w:val="left"/>
        </w:tabs>
        <w:numPr>
          <w:ilvl w:val="0"/>
          <w:numId w:val="14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Foreign exchange risk</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revenues and expenses of the Group’s entities in the PRC are generally denominated in RMB and their assets and liabilities are denominated in RMB. The RMB is not freely convertible into foreign currencies. Remittances of foreign currencies into the PRC or remittances of RMB out of the PRC as well as exchange between RMB and foreign currencies require approval by foreign exchange administrative authorities and certain supporting documentation. The State Administration for Foreign Exchange, under the authority of the People’s Bank of China, controls the conversion of RMB into other currencies.</w:t>
      </w:r>
    </w:p>
    <w:p>
      <w:pPr>
        <w:spacing w:after="0" w:line="170"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4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Credit risk</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Financial instruments that potentially expose the Group to credit risk consist primarily of cash and cash equivalents, restricted cash, short-term investments, short-term and long-term deposits, accounts and notes receivable and amounts due from related parties. The Group places its cash and cash equivalents, restricted cash, short-term investments and short-term deposits with financial institutions with high credit ratings and quality. There has been no recent history of default in relation to these financial institutions and credit risk is immaterial.</w:t>
      </w:r>
    </w:p>
    <w:p>
      <w:pPr>
        <w:spacing w:after="0" w:line="174"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Group conducts credit evaluations of third-party customers and related parties, and generally does not require collateral or other security from its third-party customers and related parties. The Group establishes an allowance for credit losses primarily based upon the age of the receivables and factors surrounding the credit risk of specific third-party customers and related parties.</w:t>
      </w:r>
    </w:p>
    <w:p>
      <w:pPr>
        <w:spacing w:after="0" w:line="169" w:lineRule="exact"/>
        <w:rPr>
          <w:rFonts w:ascii="Times New Roman" w:cs="Times New Roman" w:eastAsia="Times New Roman" w:hAnsi="Times New Roman"/>
          <w:sz w:val="17"/>
          <w:szCs w:val="17"/>
          <w:b w:val="1"/>
          <w:bCs w:val="1"/>
          <w:i w:val="1"/>
          <w:iCs w:val="1"/>
          <w:color w:val="auto"/>
        </w:rPr>
      </w:pPr>
    </w:p>
    <w:p>
      <w:pPr>
        <w:ind w:left="6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Concentration risk of accounts and notes receivable from third parties are presented as below:</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19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7"/>
        </w:trPr>
        <w:tc>
          <w:tcPr>
            <w:tcW w:w="4500" w:type="dxa"/>
            <w:vAlign w:val="bottom"/>
          </w:tcPr>
          <w:p>
            <w:pPr>
              <w:spacing w:after="0"/>
              <w:rPr>
                <w:sz w:val="18"/>
                <w:szCs w:val="18"/>
                <w:color w:val="auto"/>
              </w:rPr>
            </w:pPr>
          </w:p>
        </w:tc>
        <w:tc>
          <w:tcPr>
            <w:tcW w:w="1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500" w:type="dxa"/>
            <w:vAlign w:val="bottom"/>
          </w:tcPr>
          <w:p>
            <w:pPr>
              <w:spacing w:after="0"/>
              <w:rPr>
                <w:sz w:val="16"/>
                <w:szCs w:val="16"/>
                <w:color w:val="auto"/>
              </w:rPr>
            </w:pPr>
          </w:p>
        </w:tc>
        <w:tc>
          <w:tcPr>
            <w:tcW w:w="1620" w:type="dxa"/>
            <w:vAlign w:val="bottom"/>
          </w:tcPr>
          <w:p>
            <w:pPr>
              <w:jc w:val="right"/>
              <w:ind w:right="79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jc w:val="right"/>
              <w:ind w:right="99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A</w:t>
            </w:r>
          </w:p>
        </w:tc>
        <w:tc>
          <w:tcPr>
            <w:tcW w:w="1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rPr>
              <w:t>9,653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w:t>
            </w:r>
          </w:p>
        </w:tc>
        <w:tc>
          <w:tcPr>
            <w:tcW w:w="1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16,070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Company B</w:t>
            </w:r>
          </w:p>
        </w:tc>
        <w:tc>
          <w:tcPr>
            <w:tcW w:w="162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rPr>
              <w:t>6,004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C</w:t>
            </w:r>
          </w:p>
        </w:tc>
        <w:tc>
          <w:tcPr>
            <w:tcW w:w="1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rPr>
              <w:t>4,440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w:t>
            </w:r>
          </w:p>
        </w:tc>
        <w:tc>
          <w:tcPr>
            <w:tcW w:w="1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403"/>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Concentration risk of accounts receivable from related parties are presented as below:</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115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7"/>
        </w:trPr>
        <w:tc>
          <w:tcPr>
            <w:tcW w:w="6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RMB</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rPr>
              <w:t>RMB</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2"/>
        </w:trPr>
        <w:tc>
          <w:tcPr>
            <w:tcW w:w="60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Xiaomi</w:t>
            </w:r>
          </w:p>
        </w:tc>
        <w:tc>
          <w:tcPr>
            <w:tcW w:w="1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rPr>
              <w:t>591,221</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rPr>
              <w:t>304,078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60" w:type="dxa"/>
            <w:vAlign w:val="bottom"/>
          </w:tcPr>
          <w:p>
            <w:pPr>
              <w:spacing w:after="0"/>
              <w:rPr>
                <w:sz w:val="17"/>
                <w:szCs w:val="17"/>
                <w:color w:val="auto"/>
              </w:rPr>
            </w:pPr>
          </w:p>
        </w:tc>
      </w:tr>
      <w:tr>
        <w:trPr>
          <w:trHeight w:val="218"/>
        </w:trPr>
        <w:tc>
          <w:tcPr>
            <w:tcW w:w="6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Foshan Viomi</w:t>
            </w:r>
          </w:p>
        </w:tc>
        <w:tc>
          <w:tcPr>
            <w:tcW w:w="162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auto"/>
              </w:rPr>
              <w:t>36,095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60" w:type="dxa"/>
            <w:vAlign w:val="bottom"/>
          </w:tcPr>
          <w:p>
            <w:pPr>
              <w:spacing w:after="0"/>
              <w:rPr>
                <w:sz w:val="18"/>
                <w:szCs w:val="18"/>
                <w:color w:val="auto"/>
              </w:rPr>
            </w:pPr>
          </w:p>
        </w:tc>
      </w:tr>
      <w:tr>
        <w:trPr>
          <w:trHeight w:val="387"/>
        </w:trPr>
        <w:tc>
          <w:tcPr>
            <w:tcW w:w="672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Concentration risk of other receivables from related parties are presented as below:</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1156"/>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7"/>
        </w:trPr>
        <w:tc>
          <w:tcPr>
            <w:tcW w:w="6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6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RMB</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rPr>
              <w:t>RMB</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2"/>
        </w:trPr>
        <w:tc>
          <w:tcPr>
            <w:tcW w:w="60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Xiaomi</w:t>
            </w:r>
          </w:p>
        </w:tc>
        <w:tc>
          <w:tcPr>
            <w:tcW w:w="1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rPr>
              <w:t>100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1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rPr>
              <w:t>200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60" w:type="dxa"/>
            <w:vAlign w:val="bottom"/>
          </w:tcPr>
          <w:p>
            <w:pPr>
              <w:spacing w:after="0"/>
              <w:rPr>
                <w:sz w:val="17"/>
                <w:szCs w:val="17"/>
                <w:color w:val="auto"/>
              </w:rPr>
            </w:pPr>
          </w:p>
        </w:tc>
      </w:tr>
      <w:tr>
        <w:trPr>
          <w:trHeight w:val="218"/>
        </w:trPr>
        <w:tc>
          <w:tcPr>
            <w:tcW w:w="6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Foshan Viomi</w:t>
            </w:r>
          </w:p>
        </w:tc>
        <w:tc>
          <w:tcPr>
            <w:tcW w:w="162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rPr>
              <w:t>11,134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99%</w:t>
            </w:r>
          </w:p>
        </w:tc>
        <w:tc>
          <w:tcPr>
            <w:tcW w:w="176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r>
      <w:tr>
        <w:trPr>
          <w:trHeight w:val="387"/>
        </w:trPr>
        <w:tc>
          <w:tcPr>
            <w:tcW w:w="6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F-33</w:t>
            </w: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4"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CONCENTRATION AND RISKS (Continued)</w:t>
      </w:r>
    </w:p>
    <w:p>
      <w:pPr>
        <w:spacing w:after="0" w:line="208" w:lineRule="exact"/>
        <w:rPr>
          <w:sz w:val="20"/>
          <w:szCs w:val="20"/>
          <w:color w:val="auto"/>
        </w:rPr>
      </w:pPr>
    </w:p>
    <w:p>
      <w:pPr>
        <w:ind w:left="600" w:hanging="599"/>
        <w:spacing w:after="0"/>
        <w:tabs>
          <w:tab w:leader="none" w:pos="600" w:val="left"/>
        </w:tabs>
        <w:numPr>
          <w:ilvl w:val="0"/>
          <w:numId w:val="15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Revenue concentration risk</w:t>
      </w:r>
    </w:p>
    <w:p>
      <w:pPr>
        <w:spacing w:after="0" w:line="246"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7"/>
        </w:trPr>
        <w:tc>
          <w:tcPr>
            <w:tcW w:w="3860" w:type="dxa"/>
            <w:vAlign w:val="bottom"/>
          </w:tcPr>
          <w:p>
            <w:pPr>
              <w:spacing w:after="0"/>
              <w:rPr>
                <w:sz w:val="18"/>
                <w:szCs w:val="18"/>
                <w:color w:val="auto"/>
              </w:rPr>
            </w:pP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3860" w:type="dxa"/>
            <w:vAlign w:val="bottom"/>
          </w:tcPr>
          <w:p>
            <w:pPr>
              <w:spacing w:after="0"/>
              <w:rPr>
                <w:sz w:val="16"/>
                <w:szCs w:val="16"/>
                <w:color w:val="auto"/>
              </w:rPr>
            </w:pPr>
          </w:p>
        </w:tc>
        <w:tc>
          <w:tcPr>
            <w:tcW w:w="1280" w:type="dxa"/>
            <w:vAlign w:val="bottom"/>
            <w:tcBorders>
              <w:top w:val="single" w:sz="8" w:color="auto"/>
            </w:tcBorders>
          </w:tcPr>
          <w:p>
            <w:pPr>
              <w:jc w:val="right"/>
              <w:ind w:right="6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top w:val="single" w:sz="8" w:color="auto"/>
            </w:tcBorders>
          </w:tcPr>
          <w:p>
            <w:pPr>
              <w:jc w:val="right"/>
              <w:ind w:right="6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Borders>
              <w:top w:val="single" w:sz="8" w:color="auto"/>
            </w:tcBorders>
          </w:tcPr>
          <w:p>
            <w:pPr>
              <w:jc w:val="right"/>
              <w:ind w:right="6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Xiaomi</w:t>
            </w:r>
          </w:p>
        </w:tc>
        <w:tc>
          <w:tcPr>
            <w:tcW w:w="1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rPr>
              <w:t>1,292,880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w:t>
            </w:r>
          </w:p>
        </w:tc>
        <w:tc>
          <w:tcPr>
            <w:tcW w:w="14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1,752,246</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83%</w:t>
            </w:r>
          </w:p>
        </w:tc>
        <w:tc>
          <w:tcPr>
            <w:tcW w:w="12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2,174,895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bl>
    <w:p>
      <w:pPr>
        <w:spacing w:after="0" w:line="181" w:lineRule="exact"/>
        <w:rPr>
          <w:sz w:val="20"/>
          <w:szCs w:val="20"/>
          <w:color w:val="auto"/>
        </w:rPr>
      </w:pPr>
    </w:p>
    <w:p>
      <w:pPr>
        <w:ind w:left="600" w:hanging="599"/>
        <w:spacing w:after="0"/>
        <w:tabs>
          <w:tab w:leader="none" w:pos="60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AND CASH EQUIVALENTS</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and cash equivalents represent cash on hand and demand deposits placed with banks or other financial institutions. Cash and cash equivalents balance as of December 31, 2024 and 2025 primarily consist of the following currencies:</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2480" w:type="dxa"/>
            <w:vAlign w:val="bottom"/>
            <w:gridSpan w:val="3"/>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300" w:type="dxa"/>
            <w:vAlign w:val="bottom"/>
          </w:tcPr>
          <w:p>
            <w:pPr>
              <w:spacing w:after="0"/>
              <w:rPr>
                <w:sz w:val="19"/>
                <w:szCs w:val="19"/>
                <w:color w:val="auto"/>
              </w:rPr>
            </w:pPr>
          </w:p>
        </w:tc>
        <w:tc>
          <w:tcPr>
            <w:tcW w:w="248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r>
      <w:tr>
        <w:trPr>
          <w:trHeight w:val="174"/>
        </w:trPr>
        <w:tc>
          <w:tcPr>
            <w:tcW w:w="45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76"/>
              <w:spacing w:after="0" w:line="175" w:lineRule="exact"/>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80" w:type="dxa"/>
            <w:vAlign w:val="bottom"/>
            <w:gridSpan w:val="2"/>
          </w:tcPr>
          <w:p>
            <w:pPr>
              <w:spacing w:after="0"/>
              <w:rPr>
                <w:sz w:val="15"/>
                <w:szCs w:val="15"/>
                <w:color w:val="auto"/>
              </w:rPr>
            </w:pPr>
          </w:p>
        </w:tc>
      </w:tr>
      <w:tr>
        <w:trPr>
          <w:trHeight w:val="222"/>
        </w:trPr>
        <w:tc>
          <w:tcPr>
            <w:tcW w:w="452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equivalent</w:t>
            </w:r>
          </w:p>
        </w:tc>
        <w:tc>
          <w:tcPr>
            <w:tcW w:w="3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equivalent</w:t>
            </w:r>
          </w:p>
        </w:tc>
      </w:tr>
      <w:tr>
        <w:trPr>
          <w:trHeight w:val="195"/>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RMB</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834,573</w:t>
            </w:r>
          </w:p>
        </w:tc>
        <w:tc>
          <w:tcPr>
            <w:tcW w:w="3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834,573</w:t>
            </w: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642,729</w:t>
            </w: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642,729</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26,269</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188,832</w:t>
            </w: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22,589</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158,775</w:t>
            </w:r>
          </w:p>
        </w:tc>
        <w:tc>
          <w:tcPr>
            <w:tcW w:w="60" w:type="dxa"/>
            <w:vAlign w:val="bottom"/>
          </w:tcPr>
          <w:p>
            <w:pPr>
              <w:spacing w:after="0"/>
              <w:rPr>
                <w:sz w:val="17"/>
                <w:szCs w:val="17"/>
                <w:color w:val="auto"/>
              </w:rPr>
            </w:pPr>
          </w:p>
        </w:tc>
      </w:tr>
      <w:tr>
        <w:trPr>
          <w:trHeight w:val="21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 (i)</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935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107,755</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5,095</w:t>
            </w:r>
          </w:p>
        </w:tc>
        <w:tc>
          <w:tcPr>
            <w:tcW w:w="60" w:type="dxa"/>
            <w:vAlign w:val="bottom"/>
            <w:shd w:val="clear" w:color="auto" w:fill="CCEEFF"/>
          </w:tcPr>
          <w:p>
            <w:pPr>
              <w:spacing w:after="0"/>
              <w:rPr>
                <w:sz w:val="18"/>
                <w:szCs w:val="18"/>
                <w:color w:val="auto"/>
              </w:rPr>
            </w:pPr>
          </w:p>
        </w:tc>
      </w:tr>
      <w:tr>
        <w:trPr>
          <w:trHeight w:val="219"/>
        </w:trPr>
        <w:tc>
          <w:tcPr>
            <w:tcW w:w="4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1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1,026,188</w:t>
            </w:r>
          </w:p>
        </w:tc>
        <w:tc>
          <w:tcPr>
            <w:tcW w:w="3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806,599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ind w:left="320" w:hanging="226"/>
        <w:spacing w:after="0"/>
        <w:tabs>
          <w:tab w:leader="none" w:pos="320"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other currencies consist of Hong Kong Dollar, Euro, Korean Won, Canadian Dollar and Singapore Dollar.</w:t>
      </w:r>
    </w:p>
    <w:p>
      <w:pPr>
        <w:spacing w:after="0" w:line="304"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CASH</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2024 and 2025, the Group held restricted cash of RMB141,292 and RMB164,431, respectively, in designated bank accounts, which were composed of the deposit required for issuing bank acceptance bills of RMB62,108 and RMB77,332, respectively, capital deposit of RMB770 and RMB770, and the foreign exchange deposits of RMB78,414 and RMB79,717, respectively.</w:t>
      </w:r>
    </w:p>
    <w:p>
      <w:pPr>
        <w:spacing w:after="0" w:line="165"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SHORT-TERM INVESTMENTS</w:t>
      </w:r>
    </w:p>
    <w:p>
      <w:pPr>
        <w:spacing w:after="0" w:line="212"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Short-term investments mainly represent company securities and structured deposits. Short-term investments balance as of December 31, 2024 and 2025 is denominated in RMB, amounted to RMB72,500 and RMB82,598,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 NET</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Inventories, net consisted of the followings:</w:t>
      </w:r>
    </w:p>
    <w:p>
      <w:pPr>
        <w:spacing w:after="0" w:line="2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5940" w:type="dxa"/>
            <w:vAlign w:val="bottom"/>
          </w:tcPr>
          <w:p>
            <w:pPr>
              <w:spacing w:after="0"/>
              <w:rPr>
                <w:sz w:val="16"/>
                <w:szCs w:val="16"/>
                <w:color w:val="auto"/>
              </w:rPr>
            </w:pPr>
          </w:p>
        </w:tc>
        <w:tc>
          <w:tcPr>
            <w:tcW w:w="1060" w:type="dxa"/>
            <w:vAlign w:val="bottom"/>
          </w:tcPr>
          <w:p>
            <w:pPr>
              <w:jc w:val="center"/>
              <w:ind w:left="49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jc w:val="right"/>
              <w:ind w:righ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80,853</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105,315</w:t>
            </w:r>
          </w:p>
        </w:tc>
      </w:tr>
      <w:tr>
        <w:trPr>
          <w:trHeight w:val="214"/>
        </w:trPr>
        <w:tc>
          <w:tcPr>
            <w:tcW w:w="7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31,472</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21,564</w:t>
            </w:r>
          </w:p>
        </w:tc>
      </w:tr>
      <w:tr>
        <w:trPr>
          <w:trHeight w:val="207"/>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Inventories, net</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112,325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126,879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recorded inventory written down amounted to RMB3,104 and RMB805 as of December 31, 2024 and 2025, respectively.</w:t>
      </w:r>
    </w:p>
    <w:p>
      <w:pPr>
        <w:spacing w:after="0" w:line="204" w:lineRule="exact"/>
        <w:rPr>
          <w:sz w:val="20"/>
          <w:szCs w:val="20"/>
          <w:color w:val="auto"/>
        </w:rPr>
      </w:pPr>
    </w:p>
    <w:p>
      <w:pPr>
        <w:ind w:left="600" w:hanging="599"/>
        <w:spacing w:after="0"/>
        <w:tabs>
          <w:tab w:leader="none" w:pos="60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400" w:type="dxa"/>
            <w:vAlign w:val="bottom"/>
          </w:tcPr>
          <w:p>
            <w:pPr>
              <w:spacing w:after="0"/>
              <w:rPr>
                <w:sz w:val="18"/>
                <w:szCs w:val="18"/>
                <w:color w:val="auto"/>
              </w:rPr>
            </w:pPr>
          </w:p>
        </w:tc>
        <w:tc>
          <w:tcPr>
            <w:tcW w:w="6280" w:type="dxa"/>
            <w:vAlign w:val="bottom"/>
            <w:gridSpan w:val="2"/>
          </w:tcPr>
          <w:p>
            <w:pPr>
              <w:spacing w:after="0"/>
              <w:rPr>
                <w:sz w:val="18"/>
                <w:szCs w:val="18"/>
                <w:color w:val="auto"/>
              </w:rPr>
            </w:pPr>
          </w:p>
        </w:tc>
        <w:tc>
          <w:tcPr>
            <w:tcW w:w="108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18"/>
                <w:szCs w:val="18"/>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080" w:type="dxa"/>
            <w:vAlign w:val="bottom"/>
          </w:tcPr>
          <w:p>
            <w:pPr>
              <w:jc w:val="center"/>
              <w:ind w:left="5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center"/>
              <w:ind w:right="49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to suppliers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47,204</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96,911</w:t>
            </w: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37,236</w:t>
            </w:r>
          </w:p>
        </w:tc>
        <w:tc>
          <w:tcPr>
            <w:tcW w:w="600" w:type="dxa"/>
            <w:vAlign w:val="bottom"/>
          </w:tcPr>
          <w:p>
            <w:pPr>
              <w:spacing w:after="0"/>
              <w:rPr>
                <w:sz w:val="17"/>
                <w:szCs w:val="17"/>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45,267</w:t>
            </w: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 for equipment</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2,367</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17,225</w:t>
            </w: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1,138</w:t>
            </w:r>
          </w:p>
        </w:tc>
        <w:tc>
          <w:tcPr>
            <w:tcW w:w="600" w:type="dxa"/>
            <w:vAlign w:val="bottom"/>
          </w:tcPr>
          <w:p>
            <w:pPr>
              <w:spacing w:after="0"/>
              <w:rPr>
                <w:sz w:val="17"/>
                <w:szCs w:val="17"/>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16,101</w:t>
            </w: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hold improvement</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1,383</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584</w:t>
            </w: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return assets</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88</w:t>
            </w:r>
          </w:p>
        </w:tc>
        <w:tc>
          <w:tcPr>
            <w:tcW w:w="60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63</w:t>
            </w: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89,416</w:t>
            </w: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176,151</w:t>
            </w:r>
          </w:p>
        </w:tc>
        <w:tc>
          <w:tcPr>
            <w:tcW w:w="80" w:type="dxa"/>
            <w:vAlign w:val="bottom"/>
            <w:tcBorders>
              <w:top w:val="single" w:sz="8" w:color="CCEEFF"/>
            </w:tcBorders>
            <w:shd w:val="clear" w:color="auto" w:fill="CCEEFF"/>
          </w:tcPr>
          <w:p>
            <w:pPr>
              <w:spacing w:after="0"/>
              <w:rPr>
                <w:sz w:val="16"/>
                <w:szCs w:val="16"/>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Less: non-current portion</w:t>
            </w: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(18,053</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(19,055</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Prepaid expenses and other assets-current portion</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71,363</w:t>
            </w:r>
          </w:p>
        </w:tc>
        <w:tc>
          <w:tcPr>
            <w:tcW w:w="2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157,096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1"/>
        </w:trPr>
        <w:tc>
          <w:tcPr>
            <w:tcW w:w="40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93"/>
              </w:rPr>
              <w:t>10.</w:t>
            </w: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400" w:type="dxa"/>
            <w:vAlign w:val="bottom"/>
          </w:tcPr>
          <w:p>
            <w:pPr>
              <w:spacing w:after="0"/>
              <w:rPr>
                <w:sz w:val="24"/>
                <w:szCs w:val="24"/>
                <w:color w:val="auto"/>
              </w:rPr>
            </w:pP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Property, plant, and equipment, net consisted of the following:</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400" w:type="dxa"/>
            <w:vAlign w:val="bottom"/>
          </w:tcPr>
          <w:p>
            <w:pPr>
              <w:spacing w:after="0"/>
              <w:rPr>
                <w:sz w:val="18"/>
                <w:szCs w:val="18"/>
                <w:color w:val="auto"/>
              </w:rPr>
            </w:pPr>
          </w:p>
        </w:tc>
        <w:tc>
          <w:tcPr>
            <w:tcW w:w="6280" w:type="dxa"/>
            <w:vAlign w:val="bottom"/>
            <w:gridSpan w:val="2"/>
          </w:tcPr>
          <w:p>
            <w:pPr>
              <w:spacing w:after="0"/>
              <w:rPr>
                <w:sz w:val="18"/>
                <w:szCs w:val="18"/>
                <w:color w:val="auto"/>
              </w:rPr>
            </w:pPr>
          </w:p>
        </w:tc>
        <w:tc>
          <w:tcPr>
            <w:tcW w:w="1080" w:type="dxa"/>
            <w:vAlign w:val="bottom"/>
            <w:tcBorders>
              <w:bottom w:val="single" w:sz="8" w:color="auto"/>
            </w:tcBorders>
          </w:tcPr>
          <w:p>
            <w:pPr>
              <w:jc w:val="center"/>
              <w:ind w:left="51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18"/>
                <w:szCs w:val="18"/>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080" w:type="dxa"/>
            <w:vAlign w:val="bottom"/>
          </w:tcPr>
          <w:p>
            <w:pPr>
              <w:jc w:val="center"/>
              <w:ind w:left="5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center"/>
              <w:ind w:right="49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258,910</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258,910</w:t>
            </w: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Computers and equipment</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140,465</w:t>
            </w:r>
          </w:p>
        </w:tc>
        <w:tc>
          <w:tcPr>
            <w:tcW w:w="600" w:type="dxa"/>
            <w:vAlign w:val="bottom"/>
          </w:tcPr>
          <w:p>
            <w:pPr>
              <w:spacing w:after="0"/>
              <w:rPr>
                <w:sz w:val="17"/>
                <w:szCs w:val="17"/>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171,989</w:t>
            </w: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Vehicle</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2,692</w:t>
            </w: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3,038</w:t>
            </w: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7,343</w:t>
            </w:r>
          </w:p>
        </w:tc>
        <w:tc>
          <w:tcPr>
            <w:tcW w:w="60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409,410</w:t>
            </w: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433,937</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(94,101)</w:t>
            </w:r>
          </w:p>
        </w:tc>
        <w:tc>
          <w:tcPr>
            <w:tcW w:w="6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(128,505)</w:t>
            </w:r>
          </w:p>
        </w:tc>
      </w:tr>
      <w:tr>
        <w:trPr>
          <w:trHeight w:val="207"/>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315,309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305,432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The Group had recorded depreciation expense of RMB24,077, RMB22,882 and RMB35,239 for the years ended December 31, 2023, 2024, and 2025, respectively. No impairment was recorded for the years ended December 31, 2023, 2024, and 2025.</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the Group also pledged certain property, plant, and equipment for the Group’s long-term borrowings (See Note 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LAND USE RIGHT, NET</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2020, the Group obtained a land use right in Foshan from the local authorities. Amortization of the land use right is made over the remaining term of the land use right period from the date when the land was made available for use by the Group. The land use right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6280" w:type="dxa"/>
            <w:vAlign w:val="bottom"/>
            <w:gridSpan w:val="2"/>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080" w:type="dxa"/>
            <w:vAlign w:val="bottom"/>
          </w:tcPr>
          <w:p>
            <w:pPr>
              <w:jc w:val="center"/>
              <w:ind w:left="5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center"/>
              <w:ind w:right="49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9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63,618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63,618</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(6,987)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Land use right, net</w:t>
            </w: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 w:type="dxa"/>
            <w:vAlign w:val="bottom"/>
          </w:tcPr>
          <w:p>
            <w:pPr>
              <w:spacing w:after="0"/>
              <w:rPr>
                <w:sz w:val="24"/>
                <w:szCs w:val="24"/>
                <w:color w:val="auto"/>
              </w:rPr>
            </w:pPr>
          </w:p>
        </w:tc>
        <w:tc>
          <w:tcPr>
            <w:tcW w:w="10840" w:type="dxa"/>
            <w:vAlign w:val="bottom"/>
            <w:gridSpan w:val="11"/>
          </w:tcPr>
          <w:p>
            <w:pPr>
              <w:ind w:left="200"/>
              <w:spacing w:after="0"/>
              <w:rPr>
                <w:sz w:val="20"/>
                <w:szCs w:val="20"/>
                <w:color w:val="auto"/>
              </w:rPr>
            </w:pPr>
            <w:r>
              <w:rPr>
                <w:rFonts w:ascii="Times New Roman" w:cs="Times New Roman" w:eastAsia="Times New Roman" w:hAnsi="Times New Roman"/>
                <w:sz w:val="17"/>
                <w:szCs w:val="17"/>
                <w:color w:val="auto"/>
              </w:rPr>
              <w:t>The Group had recorded amortization expense of RMB1,272, RMB1,273 and RMB1,273 for the years ended December 31, 2023, 2024, and 2025,</w:t>
            </w: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respectively.</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00" w:type="dxa"/>
            <w:vAlign w:val="bottom"/>
          </w:tcPr>
          <w:p>
            <w:pPr>
              <w:spacing w:after="0"/>
              <w:rPr>
                <w:sz w:val="24"/>
                <w:szCs w:val="24"/>
                <w:color w:val="auto"/>
              </w:rPr>
            </w:pP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98"/>
              </w:rPr>
              <w:t>In addition, the Group also pledged its land use right for the Group’s long-term borrowings (See Note 12).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00" w:type="dxa"/>
            <w:vAlign w:val="bottom"/>
          </w:tcPr>
          <w:p>
            <w:pPr>
              <w:spacing w:after="0"/>
              <w:rPr>
                <w:sz w:val="24"/>
                <w:szCs w:val="24"/>
                <w:color w:val="auto"/>
              </w:rPr>
            </w:pP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The estimated future amortization expense for land use rights is as follows: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00" w:type="dxa"/>
            <w:vAlign w:val="bottom"/>
          </w:tcPr>
          <w:p>
            <w:pPr>
              <w:spacing w:after="0"/>
              <w:rPr>
                <w:sz w:val="24"/>
                <w:szCs w:val="24"/>
                <w:color w:val="auto"/>
              </w:rPr>
            </w:pP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gridSpan w:val="3"/>
          </w:tcPr>
          <w:p>
            <w:pPr>
              <w:jc w:val="center"/>
              <w:ind w:right="1540"/>
              <w:spacing w:after="0"/>
              <w:rPr>
                <w:sz w:val="20"/>
                <w:szCs w:val="20"/>
                <w:color w:val="auto"/>
              </w:rPr>
            </w:pPr>
            <w:r>
              <w:rPr>
                <w:rFonts w:ascii="Times New Roman" w:cs="Times New Roman" w:eastAsia="Times New Roman" w:hAnsi="Times New Roman"/>
                <w:sz w:val="17"/>
                <w:szCs w:val="17"/>
                <w:b w:val="1"/>
                <w:bCs w:val="1"/>
                <w:color w:val="auto"/>
                <w:w w:val="95"/>
              </w:rPr>
              <w:t>RMB</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1,273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1,273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1,273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1,273</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50,266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73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0" w:type="dxa"/>
            <w:vAlign w:val="bottom"/>
            <w:vMerge w:val="continue"/>
          </w:tcPr>
          <w:p>
            <w:pPr>
              <w:spacing w:after="0"/>
              <w:rPr>
                <w:sz w:val="24"/>
                <w:szCs w:val="24"/>
                <w:color w:val="auto"/>
              </w:rPr>
            </w:pPr>
          </w:p>
        </w:tc>
        <w:tc>
          <w:tcPr>
            <w:tcW w:w="736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00" w:hanging="599"/>
        <w:spacing w:after="0"/>
        <w:tabs>
          <w:tab w:leader="none" w:pos="600" w:val="left"/>
        </w:tabs>
        <w:numPr>
          <w:ilvl w:val="0"/>
          <w:numId w:val="15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Short-term borrowings</w:t>
      </w:r>
    </w:p>
    <w:p>
      <w:pPr>
        <w:spacing w:after="0" w:line="211"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Short-term bank loans consisted of the following:</w:t>
      </w:r>
    </w:p>
    <w:p>
      <w:pPr>
        <w:spacing w:after="0" w:line="21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6080" w:type="dxa"/>
            <w:vAlign w:val="bottom"/>
          </w:tcPr>
          <w:p>
            <w:pPr>
              <w:spacing w:after="0"/>
              <w:rPr>
                <w:sz w:val="16"/>
                <w:szCs w:val="16"/>
                <w:color w:val="auto"/>
              </w:rPr>
            </w:pPr>
          </w:p>
        </w:tc>
        <w:tc>
          <w:tcPr>
            <w:tcW w:w="1120" w:type="dxa"/>
            <w:vAlign w:val="bottom"/>
          </w:tcPr>
          <w:p>
            <w:pPr>
              <w:jc w:val="center"/>
              <w:ind w:left="47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ind w:righ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40"/>
        </w:trPr>
        <w:tc>
          <w:tcPr>
            <w:tcW w:w="720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Bank of China </w:t>
            </w:r>
            <w:r>
              <w:rPr>
                <w:rFonts w:ascii="Times New Roman" w:cs="Times New Roman" w:eastAsia="Times New Roman" w:hAnsi="Times New Roman"/>
                <w:sz w:val="27"/>
                <w:szCs w:val="27"/>
                <w:color w:val="auto"/>
                <w:vertAlign w:val="superscript"/>
              </w:rPr>
              <w:t>(1)</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30,000</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30,000</w:t>
            </w:r>
          </w:p>
        </w:tc>
      </w:tr>
      <w:tr>
        <w:trPr>
          <w:trHeight w:val="252"/>
        </w:trPr>
        <w:tc>
          <w:tcPr>
            <w:tcW w:w="7200" w:type="dxa"/>
            <w:vAlign w:val="bottom"/>
            <w:gridSpan w:val="2"/>
          </w:tcPr>
          <w:p>
            <w:pPr>
              <w:spacing w:after="0" w:line="251" w:lineRule="exact"/>
              <w:rPr>
                <w:sz w:val="20"/>
                <w:szCs w:val="20"/>
                <w:color w:val="auto"/>
              </w:rPr>
            </w:pPr>
            <w:r>
              <w:rPr>
                <w:rFonts w:ascii="Times New Roman" w:cs="Times New Roman" w:eastAsia="Times New Roman" w:hAnsi="Times New Roman"/>
                <w:sz w:val="17"/>
                <w:szCs w:val="17"/>
                <w:color w:val="auto"/>
              </w:rPr>
              <w:t xml:space="preserve">Industrial and Commercial Bank of China </w:t>
            </w:r>
            <w:r>
              <w:rPr>
                <w:rFonts w:ascii="Times New Roman" w:cs="Times New Roman" w:eastAsia="Times New Roman" w:hAnsi="Times New Roman"/>
                <w:sz w:val="28"/>
                <w:szCs w:val="28"/>
                <w:color w:val="auto"/>
                <w:vertAlign w:val="superscript"/>
              </w:rPr>
              <w:t>(2)</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20,000</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10,000</w:t>
            </w:r>
          </w:p>
        </w:tc>
      </w:tr>
      <w:tr>
        <w:trPr>
          <w:trHeight w:val="207"/>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900" w:hanging="294"/>
        <w:spacing w:after="0" w:line="261" w:lineRule="auto"/>
        <w:tabs>
          <w:tab w:leader="none" w:pos="9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8, 2025, the Group entered into a loan agreement with Bank of China to borrow RMB30.0 million as working capital for one year. The loan was withdrawn on January 15, 2025 and as a maturity date in January 15, 2026. The loan has a fixed interest rate of 2.85% per annum. The loan was fully repaid upon maturity.</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25, 2025, the Group entered into a loan agreement with Industrial and Commercial Bank to borrow RMB10.0 million as working capital for one year, with a maturity date of March 26, 2026. These loans have a fixed interest rate of 2.75% per annum. The loan was fully repaid upon maturity.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BORROWINGS (Continued)</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incurred interest expenses for short-term borrowings of nil and RMB1,263 and RMB1,182 for the years ended December 31, 2023, 2024, and 2025, respectively. The annual weighted average interest rates were nil and 2.85% and 2.83% for the years ended December 31, 2023, 2024, and 2025,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jc w:val="right"/>
              <w:ind w:right="116"/>
              <w:spacing w:after="0"/>
              <w:rPr>
                <w:sz w:val="20"/>
                <w:szCs w:val="20"/>
                <w:color w:val="auto"/>
              </w:rPr>
            </w:pPr>
            <w:r>
              <w:rPr>
                <w:rFonts w:ascii="Times New Roman" w:cs="Times New Roman" w:eastAsia="Times New Roman" w:hAnsi="Times New Roman"/>
                <w:sz w:val="17"/>
                <w:szCs w:val="17"/>
                <w:i w:val="1"/>
                <w:iCs w:val="1"/>
                <w:color w:val="auto"/>
                <w:w w:val="90"/>
              </w:rPr>
              <w:t>(2)</w:t>
            </w: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17"/>
                <w:szCs w:val="17"/>
                <w:i w:val="1"/>
                <w:iCs w:val="1"/>
                <w:color w:val="auto"/>
              </w:rPr>
              <w:t>Long-term borrowings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6280" w:type="dxa"/>
            <w:vAlign w:val="bottom"/>
            <w:gridSpan w:val="2"/>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080" w:type="dxa"/>
            <w:vAlign w:val="bottom"/>
          </w:tcPr>
          <w:p>
            <w:pPr>
              <w:jc w:val="center"/>
              <w:ind w:left="5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ind w:righ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Agricultural Bank of China</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105,245</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76,727</w:t>
            </w:r>
          </w:p>
        </w:tc>
        <w:tc>
          <w:tcPr>
            <w:tcW w:w="0" w:type="dxa"/>
            <w:vAlign w:val="bottom"/>
          </w:tcPr>
          <w:p>
            <w:pPr>
              <w:spacing w:after="0"/>
              <w:rPr>
                <w:sz w:val="1"/>
                <w:szCs w:val="1"/>
                <w:color w:val="auto"/>
              </w:rPr>
            </w:pPr>
          </w:p>
        </w:tc>
      </w:tr>
      <w:tr>
        <w:trPr>
          <w:trHeight w:val="247"/>
        </w:trPr>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105,245</w:t>
            </w:r>
          </w:p>
        </w:tc>
        <w:tc>
          <w:tcPr>
            <w:tcW w:w="2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76,727</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200" w:type="dxa"/>
            <w:vAlign w:val="bottom"/>
            <w:vMerge w:val="restart"/>
          </w:tcPr>
          <w:p>
            <w:pPr>
              <w:spacing w:after="0"/>
              <w:rPr>
                <w:sz w:val="15"/>
                <w:szCs w:val="15"/>
                <w:color w:val="auto"/>
              </w:rPr>
            </w:pPr>
          </w:p>
        </w:tc>
        <w:tc>
          <w:tcPr>
            <w:tcW w:w="60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long-term borrowing-current portion</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(29,300)</w:t>
            </w:r>
          </w:p>
        </w:tc>
        <w:tc>
          <w:tcPr>
            <w:tcW w:w="6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(25,061)</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borrowing</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75,945</w:t>
            </w:r>
          </w:p>
        </w:tc>
        <w:tc>
          <w:tcPr>
            <w:tcW w:w="6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51,666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On March 8, 2021, The Group entered into a line of credit agreement with Agricultural Bank of China, which is used for the development of Viomi Technology Park, a comprehensive high-tech industrial campus, which was completed in the second half of 2023. The line of credit is effective from March 8, 2021 to March 7, 2026 and the credit limit is RMB310,000. The loan is guaranteed by Foshan Viomi, a related party of the Group. As of December 31, 2025, the Group borrowed, in aggregate, a total of RMB193,489 under the line of credit, with interest rate ranging from 2.75% to 2.90% per annum. The Group repaid a total of RMB116,762, and the outstanding balance of long-term borrowings was RMB76,727 as of December 31, 2025. As of December 31, 2025, the Group had unutilized lines of credit of RMB116,511 under the line of credit agreement with Agricultural Bank of China.</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future maturities of long-term borrowings as of December 31, 2025 were as follows: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6"/>
        </w:trPr>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12 months ending December 31,</w:t>
            </w:r>
          </w:p>
        </w:tc>
        <w:tc>
          <w:tcPr>
            <w:tcW w:w="174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RMB</w:t>
            </w:r>
          </w:p>
        </w:tc>
      </w:tr>
      <w:tr>
        <w:trPr>
          <w:trHeight w:val="195"/>
        </w:trPr>
        <w:tc>
          <w:tcPr>
            <w:tcW w:w="7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25,061</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78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24,959</w:t>
            </w:r>
          </w:p>
        </w:tc>
        <w:tc>
          <w:tcPr>
            <w:tcW w:w="60" w:type="dxa"/>
            <w:vAlign w:val="bottom"/>
          </w:tcPr>
          <w:p>
            <w:pPr>
              <w:spacing w:after="0"/>
              <w:rPr>
                <w:sz w:val="17"/>
                <w:szCs w:val="17"/>
                <w:color w:val="auto"/>
              </w:rPr>
            </w:pPr>
          </w:p>
        </w:tc>
      </w:tr>
      <w:tr>
        <w:trPr>
          <w:trHeight w:val="20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24,959</w:t>
            </w:r>
          </w:p>
        </w:tc>
        <w:tc>
          <w:tcPr>
            <w:tcW w:w="60" w:type="dxa"/>
            <w:vAlign w:val="bottom"/>
            <w:shd w:val="clear" w:color="auto" w:fill="CCEEFF"/>
          </w:tcPr>
          <w:p>
            <w:pPr>
              <w:spacing w:after="0"/>
              <w:rPr>
                <w:sz w:val="17"/>
                <w:szCs w:val="17"/>
                <w:color w:val="auto"/>
              </w:rPr>
            </w:pPr>
          </w:p>
        </w:tc>
      </w:tr>
      <w:tr>
        <w:trPr>
          <w:trHeight w:val="202"/>
        </w:trPr>
        <w:tc>
          <w:tcPr>
            <w:tcW w:w="784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200" w:type="dxa"/>
            <w:vAlign w:val="bottom"/>
          </w:tcPr>
          <w:p>
            <w:pPr>
              <w:spacing w:after="0"/>
              <w:rPr>
                <w:sz w:val="17"/>
                <w:szCs w:val="17"/>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1,180</w:t>
            </w:r>
          </w:p>
        </w:tc>
        <w:tc>
          <w:tcPr>
            <w:tcW w:w="60" w:type="dxa"/>
            <w:vAlign w:val="bottom"/>
          </w:tcPr>
          <w:p>
            <w:pPr>
              <w:spacing w:after="0"/>
              <w:rPr>
                <w:sz w:val="17"/>
                <w:szCs w:val="17"/>
                <w:color w:val="auto"/>
              </w:rPr>
            </w:pPr>
          </w:p>
        </w:tc>
      </w:tr>
      <w:tr>
        <w:trPr>
          <w:trHeight w:val="214"/>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568</w:t>
            </w:r>
          </w:p>
        </w:tc>
        <w:tc>
          <w:tcPr>
            <w:tcW w:w="60" w:type="dxa"/>
            <w:vAlign w:val="bottom"/>
            <w:shd w:val="clear" w:color="auto" w:fill="CCEEFF"/>
          </w:tcPr>
          <w:p>
            <w:pPr>
              <w:spacing w:after="0"/>
              <w:rPr>
                <w:sz w:val="18"/>
                <w:szCs w:val="18"/>
                <w:color w:val="auto"/>
              </w:rPr>
            </w:pPr>
          </w:p>
        </w:tc>
      </w:tr>
      <w:tr>
        <w:trPr>
          <w:trHeight w:val="207"/>
        </w:trPr>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long-term borrowings</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76,727</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Group’s building properties with net book values of RMB233,289 and land use right with net book values of RMB56,631 were pledged as collateral to secure these loans as of December 31, 2025.</w:t>
      </w:r>
    </w:p>
    <w:p>
      <w:pPr>
        <w:spacing w:after="0" w:line="159"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The Group completed the construction in the second half of 2023, and prior to the completion, the Group capitalized the interest expense as cost of the assets, and after the assets was ready for its intended use, the Group expenses off the interest expenses. The Group capitalized interest expense of RMB5,031 for the year ended December 31, 2023, and the Group recorded interest expenses of RMB4,262 and RMB2,590 for the years ended December 31, 2024, and 2025, respectively.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LIABILITIES</w:t>
      </w:r>
    </w:p>
    <w:p>
      <w:pPr>
        <w:spacing w:after="0" w:line="200" w:lineRule="exact"/>
        <w:rPr>
          <w:sz w:val="20"/>
          <w:szCs w:val="20"/>
          <w:color w:val="auto"/>
        </w:rPr>
      </w:pPr>
    </w:p>
    <w:p>
      <w:pPr>
        <w:spacing w:after="0" w:line="22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6080" w:type="dxa"/>
            <w:vAlign w:val="bottom"/>
          </w:tcPr>
          <w:p>
            <w:pPr>
              <w:spacing w:after="0"/>
              <w:rPr>
                <w:sz w:val="16"/>
                <w:szCs w:val="16"/>
                <w:color w:val="auto"/>
              </w:rPr>
            </w:pPr>
          </w:p>
        </w:tc>
        <w:tc>
          <w:tcPr>
            <w:tcW w:w="1080" w:type="dxa"/>
            <w:vAlign w:val="bottom"/>
          </w:tcPr>
          <w:p>
            <w:pPr>
              <w:jc w:val="center"/>
              <w:ind w:left="5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ind w:righ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gridSpan w:val="2"/>
          </w:tcPr>
          <w:p>
            <w:pPr>
              <w:spacing w:after="0"/>
              <w:rPr>
                <w:sz w:val="16"/>
                <w:szCs w:val="16"/>
                <w:color w:val="auto"/>
              </w:rPr>
            </w:pPr>
          </w:p>
        </w:tc>
      </w:tr>
      <w:tr>
        <w:trPr>
          <w:trHeight w:val="202"/>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 and welfare</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42,557</w:t>
            </w:r>
          </w:p>
        </w:tc>
        <w:tc>
          <w:tcPr>
            <w:tcW w:w="1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62,810</w:t>
            </w:r>
          </w:p>
        </w:tc>
      </w:tr>
      <w:tr>
        <w:trPr>
          <w:trHeight w:val="202"/>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for purchase of property</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40,183</w:t>
            </w: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42,127</w:t>
            </w:r>
          </w:p>
        </w:tc>
      </w:tr>
      <w:tr>
        <w:trPr>
          <w:trHeight w:val="202"/>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and promotion expenses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4,187</w:t>
            </w:r>
          </w:p>
        </w:tc>
        <w:tc>
          <w:tcPr>
            <w:tcW w:w="1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18,461</w:t>
            </w:r>
          </w:p>
        </w:tc>
      </w:tr>
      <w:tr>
        <w:trPr>
          <w:trHeight w:val="202"/>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fee payables</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7,547</w:t>
            </w: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14,670</w:t>
            </w:r>
          </w:p>
        </w:tc>
      </w:tr>
      <w:tr>
        <w:trPr>
          <w:trHeight w:val="202"/>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 from suppliers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11,619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11,988</w:t>
            </w:r>
          </w:p>
        </w:tc>
        <w:tc>
          <w:tcPr>
            <w:tcW w:w="60" w:type="dxa"/>
            <w:vAlign w:val="bottom"/>
            <w:shd w:val="clear" w:color="auto" w:fill="CCEEFF"/>
          </w:tcPr>
          <w:p>
            <w:pPr>
              <w:spacing w:after="0"/>
              <w:rPr>
                <w:sz w:val="17"/>
                <w:szCs w:val="17"/>
                <w:color w:val="auto"/>
              </w:rPr>
            </w:pPr>
          </w:p>
        </w:tc>
      </w:tr>
      <w:tr>
        <w:trPr>
          <w:trHeight w:val="202"/>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Freight payable</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16,879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11,364</w:t>
            </w:r>
          </w:p>
        </w:tc>
        <w:tc>
          <w:tcPr>
            <w:tcW w:w="60" w:type="dxa"/>
            <w:vAlign w:val="bottom"/>
          </w:tcPr>
          <w:p>
            <w:pPr>
              <w:spacing w:after="0"/>
              <w:rPr>
                <w:sz w:val="17"/>
                <w:szCs w:val="17"/>
                <w:color w:val="auto"/>
              </w:rPr>
            </w:pPr>
          </w:p>
        </w:tc>
      </w:tr>
      <w:tr>
        <w:trPr>
          <w:trHeight w:val="202"/>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warranty</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40,568</w:t>
            </w:r>
          </w:p>
        </w:tc>
        <w:tc>
          <w:tcPr>
            <w:tcW w:w="1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31,035</w:t>
            </w:r>
          </w:p>
        </w:tc>
      </w:tr>
      <w:tr>
        <w:trPr>
          <w:trHeight w:val="202"/>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tax payable</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6,826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9,871</w:t>
            </w:r>
          </w:p>
        </w:tc>
        <w:tc>
          <w:tcPr>
            <w:tcW w:w="60" w:type="dxa"/>
            <w:vAlign w:val="bottom"/>
          </w:tcPr>
          <w:p>
            <w:pPr>
              <w:spacing w:after="0"/>
              <w:rPr>
                <w:sz w:val="17"/>
                <w:szCs w:val="17"/>
                <w:color w:val="auto"/>
              </w:rPr>
            </w:pPr>
          </w:p>
        </w:tc>
      </w:tr>
      <w:tr>
        <w:trPr>
          <w:trHeight w:val="202"/>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Installation fee payables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60" w:type="dxa"/>
            <w:vAlign w:val="bottom"/>
            <w:shd w:val="clear" w:color="auto" w:fill="CCEEFF"/>
          </w:tcPr>
          <w:p>
            <w:pPr>
              <w:spacing w:after="0"/>
              <w:rPr>
                <w:sz w:val="17"/>
                <w:szCs w:val="17"/>
                <w:color w:val="auto"/>
              </w:rPr>
            </w:pPr>
          </w:p>
        </w:tc>
      </w:tr>
      <w:tr>
        <w:trPr>
          <w:trHeight w:val="202"/>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Refund liabilities</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224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tcPr>
          <w:p>
            <w:pPr>
              <w:spacing w:after="0"/>
              <w:rPr>
                <w:sz w:val="17"/>
                <w:szCs w:val="17"/>
                <w:color w:val="auto"/>
              </w:rPr>
            </w:pPr>
          </w:p>
        </w:tc>
      </w:tr>
      <w:tr>
        <w:trPr>
          <w:trHeight w:val="214"/>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12,029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7,370</w:t>
            </w:r>
          </w:p>
        </w:tc>
        <w:tc>
          <w:tcPr>
            <w:tcW w:w="60" w:type="dxa"/>
            <w:vAlign w:val="bottom"/>
            <w:shd w:val="clear" w:color="auto" w:fill="CCEEFF"/>
          </w:tcPr>
          <w:p>
            <w:pPr>
              <w:spacing w:after="0"/>
              <w:rPr>
                <w:sz w:val="18"/>
                <w:szCs w:val="18"/>
                <w:color w:val="auto"/>
              </w:rPr>
            </w:pPr>
          </w:p>
        </w:tc>
      </w:tr>
      <w:tr>
        <w:trPr>
          <w:trHeight w:val="194"/>
        </w:trPr>
        <w:tc>
          <w:tcPr>
            <w:tcW w:w="60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182,619</w:t>
            </w:r>
          </w:p>
        </w:tc>
        <w:tc>
          <w:tcPr>
            <w:tcW w:w="280" w:type="dxa"/>
            <w:vAlign w:val="bottom"/>
            <w:tcBorders>
              <w:bottom w:val="single" w:sz="8" w:color="CCEEFF"/>
            </w:tcBorders>
          </w:tcPr>
          <w:p>
            <w:pPr>
              <w:spacing w:after="0"/>
              <w:rPr>
                <w:sz w:val="16"/>
                <w:szCs w:val="16"/>
                <w:color w:val="auto"/>
              </w:rPr>
            </w:pPr>
          </w:p>
        </w:tc>
        <w:tc>
          <w:tcPr>
            <w:tcW w:w="16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210,160</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Less: non-current portion</w:t>
            </w:r>
          </w:p>
        </w:tc>
        <w:tc>
          <w:tcPr>
            <w:tcW w:w="10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(14,492</w:t>
            </w:r>
          </w:p>
        </w:tc>
        <w:tc>
          <w:tcPr>
            <w:tcW w:w="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(53,117</w:t>
            </w: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Accrued expenses and other liabilities-current portion</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168,127</w:t>
            </w:r>
          </w:p>
        </w:tc>
        <w:tc>
          <w:tcPr>
            <w:tcW w:w="28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157,043</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224" w:right="339" w:bottom="1440" w:gutter="0" w:footer="0" w:header="0"/>
        </w:sectPr>
      </w:pPr>
    </w:p>
    <w:p>
      <w:pPr>
        <w:ind w:left="600"/>
        <w:spacing w:after="0"/>
        <w:rPr>
          <w:sz w:val="20"/>
          <w:szCs w:val="20"/>
          <w:color w:val="auto"/>
        </w:rPr>
      </w:pPr>
      <w:r>
        <w:rPr>
          <w:rFonts w:ascii="Times New Roman" w:cs="Times New Roman" w:eastAsia="Times New Roman" w:hAnsi="Times New Roman"/>
          <w:sz w:val="16"/>
          <w:szCs w:val="16"/>
          <w:color w:val="auto"/>
        </w:rPr>
        <w:t>Product warranty activities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-113030</wp:posOffset>
            </wp:positionV>
            <wp:extent cx="6212840" cy="135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212840" cy="13589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Provided during the year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Utilized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-123190</wp:posOffset>
            </wp:positionV>
            <wp:extent cx="6212840" cy="12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6212840" cy="12827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color w:val="auto"/>
        </w:rPr>
        <w:t>Disposed during the year</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-114935</wp:posOffset>
            </wp:positionV>
            <wp:extent cx="6212840" cy="135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6212840" cy="135890"/>
                    </a:xfrm>
                    <a:prstGeom prst="rect">
                      <a:avLst/>
                    </a:prstGeom>
                    <a:noFill/>
                  </pic:spPr>
                </pic:pic>
              </a:graphicData>
            </a:graphic>
          </wp:anchor>
        </w:drawing>
      </w:r>
    </w:p>
    <w:p>
      <w:pPr>
        <w:spacing w:after="0" w:line="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Provided during the year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Utilized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-123190</wp:posOffset>
            </wp:positionV>
            <wp:extent cx="6212840" cy="135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6212840" cy="13589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color w:val="auto"/>
        </w:rPr>
        <w:t>Balance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Product Warranty</w:t>
      </w:r>
    </w:p>
    <w:p>
      <w:pPr>
        <w:spacing w:after="0" w:line="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-123190</wp:posOffset>
            </wp:positionV>
            <wp:extent cx="10566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jc w:val="right"/>
        <w:ind w:right="940"/>
        <w:spacing w:after="0"/>
        <w:rPr>
          <w:sz w:val="20"/>
          <w:szCs w:val="20"/>
          <w:color w:val="auto"/>
        </w:rPr>
      </w:pPr>
      <w:r>
        <w:rPr>
          <w:rFonts w:ascii="Times New Roman" w:cs="Times New Roman" w:eastAsia="Times New Roman" w:hAnsi="Times New Roman"/>
          <w:sz w:val="17"/>
          <w:szCs w:val="17"/>
          <w:color w:val="auto"/>
        </w:rPr>
        <w:t>5,007</w:t>
      </w:r>
    </w:p>
    <w:p>
      <w:pPr>
        <w:spacing w:after="0" w:line="19"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7"/>
          <w:szCs w:val="17"/>
          <w:color w:val="auto"/>
        </w:rPr>
        <w:t>88,889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-123190</wp:posOffset>
            </wp:positionV>
            <wp:extent cx="10566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jc w:val="right"/>
        <w:ind w:right="880"/>
        <w:spacing w:after="0"/>
        <w:rPr>
          <w:sz w:val="20"/>
          <w:szCs w:val="20"/>
          <w:color w:val="auto"/>
        </w:rPr>
      </w:pPr>
      <w:r>
        <w:rPr>
          <w:rFonts w:ascii="Times New Roman" w:cs="Times New Roman" w:eastAsia="Times New Roman" w:hAnsi="Times New Roman"/>
          <w:sz w:val="17"/>
          <w:szCs w:val="17"/>
          <w:color w:val="auto"/>
        </w:rPr>
        <w:t>(46,914)</w:t>
      </w:r>
    </w:p>
    <w:p>
      <w:pPr>
        <w:spacing w:after="0" w:line="6"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7"/>
          <w:szCs w:val="17"/>
          <w:color w:val="auto"/>
        </w:rPr>
        <w:t>(6,414)</w:t>
      </w:r>
    </w:p>
    <w:p>
      <w:pPr>
        <w:spacing w:after="0" w:line="19"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7"/>
          <w:szCs w:val="17"/>
          <w:color w:val="auto"/>
        </w:rPr>
        <w:t>40,568</w:t>
      </w:r>
    </w:p>
    <w:p>
      <w:pPr>
        <w:spacing w:after="0" w:line="19"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7"/>
          <w:szCs w:val="17"/>
          <w:color w:val="auto"/>
        </w:rPr>
        <w:t>67,450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-123190</wp:posOffset>
            </wp:positionV>
            <wp:extent cx="10566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jc w:val="right"/>
        <w:ind w:right="880"/>
        <w:spacing w:after="0"/>
        <w:rPr>
          <w:sz w:val="20"/>
          <w:szCs w:val="20"/>
          <w:color w:val="auto"/>
        </w:rPr>
      </w:pPr>
      <w:r>
        <w:rPr>
          <w:rFonts w:ascii="Times New Roman" w:cs="Times New Roman" w:eastAsia="Times New Roman" w:hAnsi="Times New Roman"/>
          <w:sz w:val="17"/>
          <w:szCs w:val="17"/>
          <w:color w:val="auto"/>
        </w:rPr>
        <w:t>(76,983)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12065</wp:posOffset>
            </wp:positionV>
            <wp:extent cx="10566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31,035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14605</wp:posOffset>
            </wp:positionV>
            <wp:extent cx="10566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1056640" cy="825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30480</wp:posOffset>
            </wp:positionV>
            <wp:extent cx="10566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440"/>
          </w:cols>
          <w:pgMar w:left="320" w:top="224" w:right="339" w:bottom="1440" w:gutter="0" w:footer="0" w:header="0"/>
          <w:type w:val="continuous"/>
        </w:sectPr>
      </w:pPr>
    </w:p>
    <w:p>
      <w:pPr>
        <w:spacing w:after="0" w:line="244" w:lineRule="exact"/>
        <w:rPr>
          <w:sz w:val="20"/>
          <w:szCs w:val="20"/>
          <w:color w:val="auto"/>
        </w:rPr>
      </w:pPr>
    </w:p>
    <w:p>
      <w:pPr>
        <w:ind w:left="600" w:hanging="599"/>
        <w:spacing w:after="0"/>
        <w:tabs>
          <w:tab w:leader="none" w:pos="600"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derives revenue by developing and selling Home water solution businesses products in the PRC. The Group operates as one operating and reportable segment and its sole business activity consists of the design, development, manufacturing and marketing of Home water solution businesses products. The Group provides Home water solution businesses products mainly to its customers in the PRC and manages its business activities on a consolidated basis.</w:t>
      </w:r>
    </w:p>
    <w:p>
      <w:pPr>
        <w:spacing w:after="0" w:line="174" w:lineRule="exact"/>
        <w:rPr>
          <w:rFonts w:ascii="Times New Roman" w:cs="Times New Roman" w:eastAsia="Times New Roman" w:hAnsi="Times New Roman"/>
          <w:sz w:val="17"/>
          <w:szCs w:val="17"/>
          <w:b w:val="1"/>
          <w:bCs w:val="1"/>
          <w:color w:val="auto"/>
        </w:rPr>
      </w:pPr>
    </w:p>
    <w:p>
      <w:pPr>
        <w:jc w:val="both"/>
        <w:ind w:left="6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accounting policies of the segment are the same as those described in Note “2. Summary of Significant Accounting Policies”. The Company’s CODM uses net income to measure segment profit or loss and assesses performance against expectations to make resource allocation decisions. Additionally, the CODM reviews and uses functional expenses included in net income to manage the Group’s operations and assess operating profitability. The Group operates as one operating and reportable segment, and as such the significant segment expenses regularly provided to the CODM are those presented on the consolidated statements of comprehensive (loss) income. These significant segment expenses include cost of revenue, research and development, selling and marketing, and general and administrative expenses. Other segment items that are presented on the consolidated statements of comprehensive (loss) income include other income, net, interest and investment income, net, and other non-operating income (loss), income tax expenses. The Group’s entity-wide disclosures, including the breakout of revenue between products are included in Note “15.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93"/>
              </w:rPr>
              <w:t>15.</w:t>
            </w: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6"/>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8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8"/>
                <w:szCs w:val="18"/>
                <w:color w:val="auto"/>
              </w:rPr>
            </w:pPr>
          </w:p>
        </w:tc>
        <w:tc>
          <w:tcPr>
            <w:tcW w:w="1720" w:type="dxa"/>
            <w:vAlign w:val="bottom"/>
            <w:gridSpan w:val="2"/>
          </w:tcPr>
          <w:p>
            <w:pPr>
              <w:jc w:val="center"/>
              <w:ind w:left="1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Pr>
          <w:p>
            <w:pPr>
              <w:spacing w:after="0"/>
              <w:rPr>
                <w:sz w:val="18"/>
                <w:szCs w:val="18"/>
                <w:color w:val="auto"/>
              </w:rPr>
            </w:pPr>
          </w:p>
        </w:tc>
        <w:tc>
          <w:tcPr>
            <w:tcW w:w="14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80" w:type="dxa"/>
            <w:vAlign w:val="bottom"/>
            <w:tcBorders>
              <w:top w:val="single" w:sz="8" w:color="auto"/>
            </w:tcBorders>
          </w:tcPr>
          <w:p>
            <w:pPr>
              <w:jc w:val="right"/>
              <w:ind w:right="45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6"/>
                <w:szCs w:val="16"/>
                <w:color w:val="auto"/>
              </w:rPr>
            </w:pPr>
          </w:p>
        </w:tc>
        <w:tc>
          <w:tcPr>
            <w:tcW w:w="1440" w:type="dxa"/>
            <w:vAlign w:val="bottom"/>
            <w:tcBorders>
              <w:top w:val="single" w:sz="8" w:color="auto"/>
            </w:tcBorders>
          </w:tcPr>
          <w:p>
            <w:pPr>
              <w:jc w:val="right"/>
              <w:ind w:right="4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Sales of products</w:t>
            </w:r>
          </w:p>
        </w:tc>
        <w:tc>
          <w:tcPr>
            <w:tcW w:w="1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 Home water solutions</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1,077,858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1,498,368</w:t>
            </w:r>
          </w:p>
        </w:tc>
        <w:tc>
          <w:tcPr>
            <w:tcW w:w="30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1,686,566</w:t>
            </w: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Kitchen appliances and others</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214,279</w:t>
            </w:r>
          </w:p>
        </w:tc>
        <w:tc>
          <w:tcPr>
            <w:tcW w:w="2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337,177</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484,565</w:t>
            </w: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 Consumables</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324,738</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277,704</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235,388</w:t>
            </w: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of sales of products</w:t>
            </w: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1,616,875</w:t>
            </w: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2,113,249</w:t>
            </w:r>
          </w:p>
        </w:tc>
        <w:tc>
          <w:tcPr>
            <w:tcW w:w="3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2,406,519</w:t>
            </w:r>
          </w:p>
        </w:tc>
        <w:tc>
          <w:tcPr>
            <w:tcW w:w="80" w:type="dxa"/>
            <w:vAlign w:val="bottom"/>
            <w:tcBorders>
              <w:top w:val="single" w:sz="8" w:color="CCEEFF"/>
            </w:tcBorders>
            <w:shd w:val="clear" w:color="auto" w:fill="CCEEFF"/>
          </w:tcPr>
          <w:p>
            <w:pPr>
              <w:spacing w:after="0"/>
              <w:rPr>
                <w:sz w:val="16"/>
                <w:szCs w:val="16"/>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Rendering of services</w:t>
            </w:r>
          </w:p>
        </w:tc>
        <w:tc>
          <w:tcPr>
            <w:tcW w:w="14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21,861</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5,733</w:t>
            </w:r>
          </w:p>
        </w:tc>
        <w:tc>
          <w:tcPr>
            <w:tcW w:w="3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21,707</w:t>
            </w:r>
          </w:p>
        </w:tc>
        <w:tc>
          <w:tcPr>
            <w:tcW w:w="80" w:type="dxa"/>
            <w:vAlign w:val="bottom"/>
            <w:tcBorders>
              <w:bottom w:val="single" w:sz="8" w:color="CCEEFF"/>
            </w:tcBorders>
          </w:tcPr>
          <w:p>
            <w:pPr>
              <w:spacing w:after="0"/>
              <w:rPr>
                <w:sz w:val="16"/>
                <w:szCs w:val="16"/>
                <w:color w:val="auto"/>
              </w:rPr>
            </w:pPr>
          </w:p>
        </w:tc>
      </w:tr>
      <w:tr>
        <w:trPr>
          <w:trHeight w:val="207"/>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1,638,736</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2,118,982</w:t>
            </w:r>
          </w:p>
        </w:tc>
        <w:tc>
          <w:tcPr>
            <w:tcW w:w="3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2,428,226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the revenue is recognized at a point in time when control of the promised goods is transferred to the customers.</w:t>
      </w:r>
    </w:p>
    <w:p>
      <w:pPr>
        <w:spacing w:after="0" w:line="204" w:lineRule="exact"/>
        <w:rPr>
          <w:sz w:val="20"/>
          <w:szCs w:val="20"/>
          <w:color w:val="auto"/>
        </w:rPr>
      </w:pPr>
    </w:p>
    <w:p>
      <w:pPr>
        <w:ind w:left="600" w:right="8620" w:hanging="599"/>
        <w:spacing w:after="0" w:line="528" w:lineRule="auto"/>
        <w:tabs>
          <w:tab w:leader="none" w:pos="600" w:val="left"/>
        </w:tabs>
        <w:numPr>
          <w:ilvl w:val="0"/>
          <w:numId w:val="1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INCOME TAX EXPENSES </w:t>
      </w:r>
      <w:r>
        <w:rPr>
          <w:rFonts w:ascii="Times New Roman" w:cs="Times New Roman" w:eastAsia="Times New Roman" w:hAnsi="Times New Roman"/>
          <w:sz w:val="16"/>
          <w:szCs w:val="16"/>
          <w:i w:val="1"/>
          <w:iCs w:val="1"/>
          <w:color w:val="auto"/>
        </w:rPr>
        <w:t>Cayman Islands</w:t>
      </w:r>
    </w:p>
    <w:p>
      <w:pPr>
        <w:spacing w:after="0" w:line="1" w:lineRule="exact"/>
        <w:rPr>
          <w:rFonts w:ascii="Times New Roman" w:cs="Times New Roman" w:eastAsia="Times New Roman" w:hAnsi="Times New Roman"/>
          <w:sz w:val="16"/>
          <w:szCs w:val="16"/>
          <w:b w:val="1"/>
          <w:bCs w:val="1"/>
          <w:color w:val="auto"/>
        </w:rPr>
      </w:pPr>
    </w:p>
    <w:p>
      <w:pPr>
        <w:ind w:left="600"/>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Under the current tax laws of the Cayman Islands, the Company and its subsidiaries are not subject to tax on income or capital gains. Besides, upon payment of dividends by the Company to its shareholders, no Cayman Islands withholding tax will be imposed.</w:t>
      </w:r>
    </w:p>
    <w:p>
      <w:pPr>
        <w:spacing w:after="0" w:line="154"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i w:val="1"/>
          <w:iCs w:val="1"/>
          <w:color w:val="auto"/>
        </w:rPr>
        <w:t>Hong Kong</w:t>
      </w:r>
    </w:p>
    <w:p>
      <w:pPr>
        <w:spacing w:after="0" w:line="211" w:lineRule="exact"/>
        <w:rPr>
          <w:rFonts w:ascii="Times New Roman" w:cs="Times New Roman" w:eastAsia="Times New Roman" w:hAnsi="Times New Roman"/>
          <w:sz w:val="16"/>
          <w:szCs w:val="16"/>
          <w:b w:val="1"/>
          <w:bCs w:val="1"/>
          <w:color w:val="auto"/>
        </w:rPr>
      </w:pPr>
    </w:p>
    <w:p>
      <w:pPr>
        <w:jc w:val="both"/>
        <w:ind w:left="60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Under the current Hong Kong Inland Revenue Ordinance, the subsidiaries of the Group in Hong Kong are subject to 8.25% and 16.5% Hong Kong profit tax on its taxable income within HKD$2 million and beyond HKD$2 million, respectively, generated from operations in Hong Kong. Additionally, payments of dividends by the subsidiaries incorporated in Hong Kong to the Company are not subject to any Hong Kong withholding tax.</w:t>
      </w:r>
    </w:p>
    <w:p>
      <w:pPr>
        <w:spacing w:after="0" w:line="165"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i w:val="1"/>
          <w:iCs w:val="1"/>
          <w:color w:val="auto"/>
        </w:rPr>
        <w:t>PRC</w:t>
      </w:r>
    </w:p>
    <w:p>
      <w:pPr>
        <w:spacing w:after="0" w:line="211" w:lineRule="exact"/>
        <w:rPr>
          <w:rFonts w:ascii="Times New Roman" w:cs="Times New Roman" w:eastAsia="Times New Roman" w:hAnsi="Times New Roman"/>
          <w:sz w:val="16"/>
          <w:szCs w:val="16"/>
          <w:b w:val="1"/>
          <w:bCs w:val="1"/>
          <w:color w:val="auto"/>
        </w:rPr>
      </w:pPr>
    </w:p>
    <w:p>
      <w:pPr>
        <w:jc w:val="both"/>
        <w:ind w:left="600"/>
        <w:spacing w:after="0" w:line="25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In accordance with the Enterprise Income Tax Law (“EIT Law”), Foreign Investment Enterprises (“FIEs”) and domestic companies are subject to Enterprise Income Tax (“EIT”) at a uniform rate of 25%. The subsidiaries and VIEs of the Group in the PRC are subject to a uniform income tax rate of 25% for years presented except for the entities which are qualified to certified High and New Technology Enterprises (“HNTE”) that are entitled to a favorable statutory tax rate of 15%. According to a policy promulgated by the State Tax Bureau of the PRC and effective from 2008 onwards, enterprises engaged in research and development activities are entitled to claim an additional tax deduction amounting to 50% of the qualified research and development expenses incurred in determining its tax assessable profits for that year. The additional tax deduction has been increased from 50% of the qualified research and development expenses to 75%, effective from 2018 to 2020, according to a new tax incentives policy promulgated by the State Tax Bureau of the PRC in September 2018. The additional tax deduction has been increased from 75% of the qualified research and development expenses to 100%, effective from 2021, according to a new tax incentives policy promulgated by the State Tax Bureau of the PRC in May 2021 (“Super Deduction”).</w:t>
      </w:r>
    </w:p>
    <w:p>
      <w:pPr>
        <w:spacing w:after="0" w:line="173"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i w:val="1"/>
          <w:iCs w:val="1"/>
          <w:color w:val="auto"/>
        </w:rPr>
        <w:t>Withholding tax on undistributed dividends</w:t>
      </w:r>
    </w:p>
    <w:p>
      <w:pPr>
        <w:spacing w:after="0" w:line="211" w:lineRule="exact"/>
        <w:rPr>
          <w:rFonts w:ascii="Times New Roman" w:cs="Times New Roman" w:eastAsia="Times New Roman" w:hAnsi="Times New Roman"/>
          <w:sz w:val="16"/>
          <w:szCs w:val="16"/>
          <w:b w:val="1"/>
          <w:bCs w:val="1"/>
          <w:color w:val="auto"/>
        </w:rPr>
      </w:pPr>
    </w:p>
    <w:p>
      <w:pPr>
        <w:jc w:val="both"/>
        <w:ind w:left="600"/>
        <w:spacing w:after="0" w:line="25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Under the CIT Law and its implementation rules, the profits of a foreign-invested enterprise arising in 2008 and thereafter that are distributed to its immediate holding company outside the PRC are subject to withholding tax at a rate of 10%. A lower withholding tax rate will be applied if there is a beneficial tax treaty between the PRC and the jurisdiction of the foreign holding company. A holding company in Hong Kong, for example, will be eligible, with approval of the PRC local tax authority, to be subject to a 5% withholding tax rate under the Arrangement Between the PRC and the Hong Kong Special Administrative Region on the Avoidance of Double Taxation and Prevention of Fiscal Evasion with Respect to Taxes on Income and Capital if such holding company is considered to be a non-PRC resident enterprise and holds at least 25% of the equity interests in the PRC foreign-invested enterprise distributing the dividends. However, if the Hong Kong holding company is not considered to be the beneficial owner of such dividends under applicable PRC tax regulations, such dividend will remain subject to withholding tax at a rate of 10%. Aggregate undistributed earnings of the Group entities located in the PRC that are available for distribution to the Company as of December 31, 2024 and 2025 are approximately nil and RMB334,248, respectively. The Company does not intend to have any of its subsidiaries located in the PRC distribute any undistributed earnings of such subsidiaries in the foreseeable future, but rather expects that such earnings will be reinvested by such subsidiaries for their PRC daily operations. Accordingly, no withholding tax was recorded as of December 31, 2024 and 2025.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right="7720" w:hanging="599"/>
        <w:spacing w:after="0" w:line="528" w:lineRule="auto"/>
        <w:tabs>
          <w:tab w:leader="none" w:pos="600" w:val="left"/>
        </w:tabs>
        <w:numPr>
          <w:ilvl w:val="0"/>
          <w:numId w:val="1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INCOME TAX EXPENSES (Continued) </w:t>
      </w:r>
      <w:r>
        <w:rPr>
          <w:rFonts w:ascii="Times New Roman" w:cs="Times New Roman" w:eastAsia="Times New Roman" w:hAnsi="Times New Roman"/>
          <w:sz w:val="16"/>
          <w:szCs w:val="16"/>
          <w:i w:val="1"/>
          <w:iCs w:val="1"/>
          <w:color w:val="auto"/>
        </w:rPr>
        <w:t>Composition of income tax expense</w:t>
      </w:r>
    </w:p>
    <w:p>
      <w:pPr>
        <w:spacing w:after="0" w:line="1" w:lineRule="exact"/>
        <w:rPr>
          <w:rFonts w:ascii="Times New Roman" w:cs="Times New Roman" w:eastAsia="Times New Roman" w:hAnsi="Times New Roman"/>
          <w:sz w:val="16"/>
          <w:szCs w:val="16"/>
          <w:b w:val="1"/>
          <w:bCs w:val="1"/>
          <w:color w:val="auto"/>
        </w:rPr>
      </w:pPr>
    </w:p>
    <w:p>
      <w:pPr>
        <w:ind w:left="6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current and deferred components of income taxes appearing in the consolidated statements of comprehensive (loss) income are as follows:</w:t>
      </w:r>
    </w:p>
    <w:p>
      <w:pPr>
        <w:spacing w:after="0" w:line="2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4700" w:type="dxa"/>
            <w:vAlign w:val="bottom"/>
          </w:tcPr>
          <w:p>
            <w:pPr>
              <w:spacing w:after="0"/>
              <w:rPr>
                <w:sz w:val="16"/>
                <w:szCs w:val="16"/>
                <w:color w:val="auto"/>
              </w:rPr>
            </w:pPr>
          </w:p>
        </w:tc>
        <w:tc>
          <w:tcPr>
            <w:tcW w:w="980" w:type="dxa"/>
            <w:vAlign w:val="bottom"/>
            <w:tcBorders>
              <w:top w:val="single" w:sz="8" w:color="auto"/>
            </w:tcBorders>
          </w:tcPr>
          <w:p>
            <w:pPr>
              <w:jc w:val="center"/>
              <w:ind w:left="436"/>
              <w:spacing w:after="0" w:line="194"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top w:val="single" w:sz="8" w:color="auto"/>
            </w:tcBorders>
          </w:tcPr>
          <w:p>
            <w:pPr>
              <w:jc w:val="center"/>
              <w:ind w:left="41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Borders>
              <w:top w:val="single" w:sz="8" w:color="auto"/>
            </w:tcBorders>
          </w:tcPr>
          <w:p>
            <w:pPr>
              <w:jc w:val="right"/>
              <w:ind w:right="4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tax expenses</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11,544</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21,686</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11,295</w:t>
            </w:r>
          </w:p>
        </w:tc>
      </w:tr>
      <w:tr>
        <w:trPr>
          <w:trHeight w:val="214"/>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expenses (benefit)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2,044</w:t>
            </w:r>
          </w:p>
        </w:tc>
        <w:tc>
          <w:tcPr>
            <w:tcW w:w="9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(4,773)</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1,363</w:t>
            </w:r>
          </w:p>
        </w:tc>
      </w:tr>
      <w:tr>
        <w:trPr>
          <w:trHeight w:val="207"/>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expenses</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13,588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16,913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Reconciliation between the income tax expenses computed by applying the PRC enterprise tax rate to income before income taxes and actual provision were as follows:</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40" w:type="dxa"/>
            <w:vAlign w:val="bottom"/>
            <w:gridSpan w:val="3"/>
          </w:tcPr>
          <w:p>
            <w:pPr>
              <w:jc w:val="right"/>
              <w:ind w:right="50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80" w:type="dxa"/>
            <w:vAlign w:val="bottom"/>
          </w:tcPr>
          <w:p>
            <w:pPr>
              <w:jc w:val="right"/>
              <w:ind w:right="116"/>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6"/>
                <w:szCs w:val="16"/>
                <w:color w:val="auto"/>
              </w:rPr>
            </w:pPr>
          </w:p>
        </w:tc>
        <w:tc>
          <w:tcPr>
            <w:tcW w:w="102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80" w:type="dxa"/>
            <w:vAlign w:val="bottom"/>
          </w:tcPr>
          <w:p>
            <w:pPr>
              <w:jc w:val="right"/>
              <w:ind w:right="116"/>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6"/>
                <w:szCs w:val="16"/>
                <w:color w:val="auto"/>
              </w:rPr>
            </w:pPr>
          </w:p>
        </w:tc>
        <w:tc>
          <w:tcPr>
            <w:tcW w:w="1020" w:type="dxa"/>
            <w:vAlign w:val="bottom"/>
            <w:gridSpan w:val="3"/>
          </w:tcPr>
          <w:p>
            <w:pPr>
              <w:jc w:val="right"/>
              <w:ind w:right="50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80" w:type="dxa"/>
            <w:vAlign w:val="bottom"/>
          </w:tcPr>
          <w:p>
            <w:pPr>
              <w:jc w:val="right"/>
              <w:ind w:right="116"/>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 in the PRC</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126,692</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177,311</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157,704</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Income (loss) from overseas entities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3,371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(15,713)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(3,117)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130,063</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161,598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154,587</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Tax expense from overseas entities at PRC enterprise income tax</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32,515</w:t>
            </w:r>
          </w:p>
        </w:tc>
        <w:tc>
          <w:tcPr>
            <w:tcW w:w="180" w:type="dxa"/>
            <w:vAlign w:val="bottom"/>
          </w:tcPr>
          <w:p>
            <w:pPr>
              <w:spacing w:after="0"/>
              <w:rPr>
                <w:sz w:val="18"/>
                <w:szCs w:val="18"/>
                <w:color w:val="auto"/>
              </w:rPr>
            </w:pPr>
          </w:p>
        </w:tc>
        <w:tc>
          <w:tcPr>
            <w:tcW w:w="7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25.0%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40,400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38,647</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income tax in jurisdictions other than the PRC</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(2,625)</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(311)</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(3,759)</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44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Income tax on tax holiday</w:t>
            </w:r>
            <w:r>
              <w:rPr>
                <w:rFonts w:ascii="Times New Roman" w:cs="Times New Roman" w:eastAsia="Times New Roman" w:hAnsi="Times New Roman"/>
                <w:sz w:val="27"/>
                <w:szCs w:val="27"/>
                <w:color w:val="auto"/>
                <w:vertAlign w:val="superscript"/>
              </w:rPr>
              <w:t>(1)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(14,952)</w:t>
            </w:r>
          </w:p>
        </w:tc>
        <w:tc>
          <w:tcPr>
            <w:tcW w:w="180" w:type="dxa"/>
            <w:vAlign w:val="bottom"/>
          </w:tcPr>
          <w:p>
            <w:pPr>
              <w:spacing w:after="0"/>
              <w:rPr>
                <w:sz w:val="20"/>
                <w:szCs w:val="20"/>
                <w:color w:val="auto"/>
              </w:rPr>
            </w:pPr>
          </w:p>
        </w:tc>
        <w:tc>
          <w:tcPr>
            <w:tcW w:w="7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(11.5)%</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(20,298)</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(17,545)</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44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Tax effect of permanent differences</w:t>
            </w:r>
            <w:r>
              <w:rPr>
                <w:rFonts w:ascii="Times New Roman" w:cs="Times New Roman" w:eastAsia="Times New Roman" w:hAnsi="Times New Roman"/>
                <w:sz w:val="27"/>
                <w:szCs w:val="27"/>
                <w:color w:val="auto"/>
                <w:vertAlign w:val="superscript"/>
              </w:rPr>
              <w:t>(2)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(12,860)</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(13,572)</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(16,382)</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7"/>
                <w:szCs w:val="17"/>
                <w:color w:val="auto"/>
              </w:rPr>
              <w:t>Change in valuation allowance</w:t>
            </w:r>
            <w:r>
              <w:rPr>
                <w:rFonts w:ascii="Times New Roman" w:cs="Times New Roman" w:eastAsia="Times New Roman" w:hAnsi="Times New Roman"/>
                <w:sz w:val="28"/>
                <w:szCs w:val="28"/>
                <w:color w:val="auto"/>
                <w:vertAlign w:val="superscript"/>
              </w:rPr>
              <w:t>(3)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11,494</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8.8%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9,585</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Effect of share-based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0.0%</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2,112</w:t>
            </w: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expenses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13,588</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10.4</w:t>
            </w: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16,913</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10.4</w:t>
            </w: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12,658</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1220" w:hanging="614"/>
        <w:spacing w:after="0" w:line="254" w:lineRule="auto"/>
        <w:tabs>
          <w:tab w:leader="none" w:pos="12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income tax on tax holidays represents the effect of preferential income tax rate enjoyed by Guangdong Lizi and Yunmi Hulian. Guangdong Lizi applied for HNTE qualification renewal in 2023. It entitled to enjoy the preferential tax rate of 15% as an HNTE for three years starting from 2023 and should apply for HNTE qualification renewal in 2026. Yunmi Hulian applied for the HNTE qualification and obtained approval in December 2021. It is entitled to enjoy the preferential tax rate of 15% as an HNTE for three years starting from 2022, and its HNTE status ceased at the end of 2023.</w:t>
      </w:r>
    </w:p>
    <w:p>
      <w:pPr>
        <w:spacing w:after="0" w:line="175"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permanent book-tax differences mainly consisted of R&amp;D super deductions.</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52" w:lineRule="auto"/>
        <w:tabs>
          <w:tab w:leader="none" w:pos="12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for the years ended December 31, 2023, 2024, and 2025 were provided for net operating loss carry forward of certain group entities which reported loss because it was more likely than not that such deferred tax assets would not be realized based on the Group’s estimate of their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 EXPENSES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per share effect of the tax holidays were as follows:</w:t>
      </w:r>
    </w:p>
    <w:p>
      <w:pPr>
        <w:spacing w:after="0" w:line="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19"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0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780" w:type="dxa"/>
            <w:vAlign w:val="bottom"/>
            <w:tcBorders>
              <w:top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4700" w:type="dxa"/>
            <w:vAlign w:val="bottom"/>
          </w:tcPr>
          <w:p>
            <w:pPr>
              <w:spacing w:after="0"/>
              <w:rPr>
                <w:sz w:val="16"/>
                <w:szCs w:val="16"/>
                <w:color w:val="auto"/>
              </w:rPr>
            </w:pPr>
          </w:p>
        </w:tc>
        <w:tc>
          <w:tcPr>
            <w:tcW w:w="1060" w:type="dxa"/>
            <w:vAlign w:val="bottom"/>
            <w:tcBorders>
              <w:top w:val="single" w:sz="8" w:color="auto"/>
            </w:tcBorders>
          </w:tcPr>
          <w:p>
            <w:pPr>
              <w:jc w:val="center"/>
              <w:ind w:left="356"/>
              <w:spacing w:after="0" w:line="194"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top w:val="single" w:sz="8" w:color="auto"/>
            </w:tcBorders>
          </w:tcPr>
          <w:p>
            <w:pPr>
              <w:jc w:val="center"/>
              <w:ind w:left="3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per share effect – basic</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0.07</w:t>
            </w:r>
          </w:p>
        </w:tc>
        <w:tc>
          <w:tcPr>
            <w:tcW w:w="10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0.09</w:t>
            </w:r>
          </w:p>
        </w:tc>
      </w:tr>
      <w:tr>
        <w:trPr>
          <w:trHeight w:val="218"/>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per share effect – diluted</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0.07</w:t>
            </w:r>
          </w:p>
        </w:tc>
        <w:tc>
          <w:tcPr>
            <w:tcW w:w="10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0.10</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0.08</w:t>
            </w:r>
          </w:p>
        </w:tc>
      </w:tr>
    </w:tbl>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Deferred tax assets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significant components of the Group’s deferred tax assets were as follows:</w:t>
      </w:r>
    </w:p>
    <w:p>
      <w:pPr>
        <w:spacing w:after="0" w:line="21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6080" w:type="dxa"/>
            <w:vAlign w:val="bottom"/>
          </w:tcPr>
          <w:p>
            <w:pPr>
              <w:spacing w:after="0"/>
              <w:rPr>
                <w:sz w:val="16"/>
                <w:szCs w:val="16"/>
                <w:color w:val="auto"/>
              </w:rPr>
            </w:pPr>
          </w:p>
        </w:tc>
        <w:tc>
          <w:tcPr>
            <w:tcW w:w="1100" w:type="dxa"/>
            <w:vAlign w:val="bottom"/>
          </w:tcPr>
          <w:p>
            <w:pPr>
              <w:jc w:val="center"/>
              <w:ind w:left="49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ind w:right="5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others</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9,363</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8,343</w:t>
            </w:r>
          </w:p>
        </w:tc>
      </w:tr>
      <w:tr>
        <w:trPr>
          <w:trHeight w:val="202"/>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operating loss carry forwards</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39,905</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49,541</w:t>
            </w:r>
          </w:p>
        </w:tc>
      </w:tr>
      <w:tr>
        <w:trPr>
          <w:trHeight w:val="202"/>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 write downs</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388</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120</w:t>
            </w:r>
          </w:p>
        </w:tc>
      </w:tr>
      <w:tr>
        <w:trPr>
          <w:trHeight w:val="214"/>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income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74</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r>
      <w:tr>
        <w:trPr>
          <w:trHeight w:val="194"/>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deferred tax assets</w:t>
            </w:r>
          </w:p>
        </w:tc>
        <w:tc>
          <w:tcPr>
            <w:tcW w:w="1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49,730</w:t>
            </w:r>
          </w:p>
        </w:tc>
        <w:tc>
          <w:tcPr>
            <w:tcW w:w="2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58,032</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valuation allowance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(40,032)</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(49,617)</w:t>
            </w:r>
          </w:p>
        </w:tc>
      </w:tr>
      <w:tr>
        <w:trPr>
          <w:trHeight w:val="207"/>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 net</w:t>
            </w:r>
          </w:p>
        </w:tc>
        <w:tc>
          <w:tcPr>
            <w:tcW w:w="1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9,698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224" w:right="339" w:bottom="1440" w:gutter="0" w:footer="0" w:header="0"/>
        </w:sectPr>
      </w:pPr>
    </w:p>
    <w:p>
      <w:pPr>
        <w:ind w:left="620"/>
        <w:spacing w:after="0"/>
        <w:rPr>
          <w:sz w:val="20"/>
          <w:szCs w:val="20"/>
          <w:color w:val="auto"/>
        </w:rPr>
      </w:pPr>
      <w:r>
        <w:rPr>
          <w:rFonts w:ascii="Times New Roman" w:cs="Times New Roman" w:eastAsia="Times New Roman" w:hAnsi="Times New Roman"/>
          <w:sz w:val="16"/>
          <w:szCs w:val="16"/>
          <w:i w:val="1"/>
          <w:iCs w:val="1"/>
          <w:color w:val="auto"/>
        </w:rPr>
        <w:t>Movement of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Balance at beginning of the year</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Provided</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Balance at end of the year</w:t>
      </w:r>
    </w:p>
    <w:p>
      <w:pPr>
        <w:spacing w:after="0" w:line="2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Uncertain tax positions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8"/>
        </w:trPr>
        <w:tc>
          <w:tcPr>
            <w:tcW w:w="1480" w:type="dxa"/>
            <w:vAlign w:val="bottom"/>
          </w:tcPr>
          <w:p>
            <w:pPr>
              <w:jc w:val="right"/>
              <w:ind w:right="456"/>
              <w:spacing w:after="0" w:line="178" w:lineRule="exact"/>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5"/>
                <w:szCs w:val="15"/>
                <w:color w:val="auto"/>
              </w:rPr>
            </w:pPr>
          </w:p>
        </w:tc>
        <w:tc>
          <w:tcPr>
            <w:tcW w:w="1480" w:type="dxa"/>
            <w:vAlign w:val="bottom"/>
          </w:tcPr>
          <w:p>
            <w:pPr>
              <w:jc w:val="right"/>
              <w:ind w:right="456"/>
              <w:spacing w:after="0" w:line="178" w:lineRule="exact"/>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5"/>
                <w:szCs w:val="15"/>
                <w:color w:val="auto"/>
              </w:rPr>
            </w:pPr>
          </w:p>
        </w:tc>
        <w:tc>
          <w:tcPr>
            <w:tcW w:w="1440" w:type="dxa"/>
            <w:vAlign w:val="bottom"/>
          </w:tcPr>
          <w:p>
            <w:pPr>
              <w:jc w:val="right"/>
              <w:ind w:right="436"/>
              <w:spacing w:after="0" w:line="178" w:lineRule="exact"/>
              <w:rPr>
                <w:sz w:val="20"/>
                <w:szCs w:val="20"/>
                <w:color w:val="auto"/>
              </w:rPr>
            </w:pPr>
            <w:r>
              <w:rPr>
                <w:rFonts w:ascii="Times New Roman" w:cs="Times New Roman" w:eastAsia="Times New Roman" w:hAnsi="Times New Roman"/>
                <w:sz w:val="17"/>
                <w:szCs w:val="17"/>
                <w:b w:val="1"/>
                <w:bCs w:val="1"/>
                <w:color w:val="auto"/>
              </w:rPr>
              <w:t>RMB</w:t>
            </w:r>
          </w:p>
        </w:tc>
        <w:tc>
          <w:tcPr>
            <w:tcW w:w="40" w:type="dxa"/>
            <w:vAlign w:val="bottom"/>
            <w:gridSpan w:val="2"/>
          </w:tcPr>
          <w:p>
            <w:pPr>
              <w:spacing w:after="0"/>
              <w:rPr>
                <w:sz w:val="15"/>
                <w:szCs w:val="15"/>
                <w:color w:val="auto"/>
              </w:rPr>
            </w:pPr>
          </w:p>
        </w:tc>
      </w:tr>
      <w:tr>
        <w:trPr>
          <w:trHeight w:val="214"/>
        </w:trPr>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20,358</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31,852</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40,032</w:t>
            </w:r>
          </w:p>
        </w:tc>
      </w:tr>
      <w:tr>
        <w:trPr>
          <w:trHeight w:val="218"/>
        </w:trPr>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11,494</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8,180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9,585</w:t>
            </w:r>
          </w:p>
        </w:tc>
        <w:tc>
          <w:tcPr>
            <w:tcW w:w="20" w:type="dxa"/>
            <w:vAlign w:val="bottom"/>
          </w:tcPr>
          <w:p>
            <w:pPr>
              <w:spacing w:after="0"/>
              <w:rPr>
                <w:sz w:val="18"/>
                <w:szCs w:val="18"/>
                <w:color w:val="auto"/>
              </w:rPr>
            </w:pPr>
          </w:p>
        </w:tc>
      </w:tr>
      <w:tr>
        <w:trPr>
          <w:trHeight w:val="207"/>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31,852</w:t>
            </w:r>
          </w:p>
        </w:tc>
        <w:tc>
          <w:tcPr>
            <w:tcW w:w="3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40,032</w:t>
            </w:r>
          </w:p>
        </w:tc>
        <w:tc>
          <w:tcPr>
            <w:tcW w:w="30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49,617</w:t>
            </w:r>
          </w:p>
        </w:tc>
        <w:tc>
          <w:tcPr>
            <w:tcW w:w="20" w:type="dxa"/>
            <w:vAlign w:val="bottom"/>
            <w:tcBorders>
              <w:bottom w:val="single" w:sz="8" w:color="auto"/>
            </w:tcBorders>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-431800</wp:posOffset>
            </wp:positionV>
            <wp:extent cx="6212840" cy="128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-167640</wp:posOffset>
            </wp:positionV>
            <wp:extent cx="6212840" cy="152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6212840" cy="15240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4580" w:space="720"/>
            <w:col w:w="5940"/>
          </w:cols>
          <w:pgMar w:left="320" w:top="224" w:right="339" w:bottom="1440" w:gutter="0" w:footer="0" w:header="0"/>
          <w:type w:val="continuous"/>
        </w:sectPr>
      </w:pPr>
    </w:p>
    <w:p>
      <w:pPr>
        <w:spacing w:after="0" w:line="12"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Group evaluates the level of authority for each uncertain tax position (including the potential application of interest and penalties) based on the technical merits, and measures the unrecognized benefits associated with the tax positions. As of December 31, 2024 and 2025, the Group did not have any significant unrecognized uncertain tax positions.</w:t>
      </w:r>
    </w:p>
    <w:p>
      <w:pPr>
        <w:spacing w:after="0" w:line="169"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According to the PRC Tax Administration and Collection Law, the statute of limitations is generally three years and can be extended to five years under special circumstances.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ORDINARY SHARES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The Company adopts a dual-class ordinary share structure. Pursuant to the resolution of the shareholders of the Company on August 23, 2018, the Company’s authorized share capital became US$50,000 divided into 5,000,000,000 shares comprising of (i) 4,800,000,000 class A ordinary shares of a par value of US$0.00001 each (“Class A Ordinary Shares”), (ii) 150,000,000 class B ordinary shares of a par value of US$0.00001 each (“Class B Ordinary Shares”) and</w:t>
      </w:r>
    </w:p>
    <w:p>
      <w:pPr>
        <w:jc w:val="both"/>
        <w:ind w:left="600" w:firstLine="6"/>
        <w:spacing w:after="0" w:line="248" w:lineRule="auto"/>
        <w:tabs>
          <w:tab w:leader="none" w:pos="919"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50,000,000 shares of a par value of US$0.00001 each of such class or classes (however designated) as the board of directors may determine in accordance with post-offering amended and restated memorandum and articles of association. In respect of all matters subject to a shareholder vote, each Class A ordinary share is entitled to one vote, and each Class B Ordinary Share is entitled to ten (10) votes, voting together as one class. Each Class B Ordinary Share is convertible into one Class A Ordinary Share at any time by the holder thereof. Class A Ordinary Shares are not convertible into Class B Ordinary Shares under any circumstances. Upon any transfer of Class B Ordinary Shares by a holder to any person or entity other than holders of Class B Ordinary Shares or their affiliates, such Class B Ordinary Shares shall be automatically and immediately converted into the equivalent number of Class A Ordinary Shares.</w:t>
      </w:r>
    </w:p>
    <w:p>
      <w:pPr>
        <w:spacing w:after="0" w:line="184"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Immediately prior to the completion of the IPO, 16,145,454 issued Class A Ordinary Shares held by certain key management founders, 33,818,182 issued Pre-IPO Class B Ordinary Shares held by Red Better, and 67,636,364 issued Pre-IPO Class B Ordinary Shares held by Mr. Chen’s wholly-owned entity Viomi Limited was automatically converted by way of re-designation and re-classification into Class B Ordinary Shares on a one-for-one basis, and the rest of the outstanding 4,000,000 Class A Ordinary Shares, the rest of the outstanding 33,818,182 Pre-IPO Class B Ordinary Shares, and all outstanding 18,181,818 Series A Preferred Shares was automatically converted by way of re-designation and re-classification into Class A Ordinary Shares on a one-for-one basis. Upon the completion of the Company’s IPO in 2018, 34,200,000 Class A Ordinary Shares were issued, and the Company had 90,200,000 Post-IPO Class A Ordinary Shares and 117,600,000 Post-IPO Class B Ordinary Shares outstanding, respectively.</w:t>
      </w:r>
    </w:p>
    <w:p>
      <w:pPr>
        <w:spacing w:after="0" w:line="177"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As of December 31, 2022, the Company had 104,539,463 Class A Ordinary Shares and 102,854,550 Class B Ordinary Shares outstanding, respectively, following the option exercises into Class A Ordinary Shares, conversions of Class B Ordinary Shares to Class A Ordinary Shares as well as the repurchase of Class A Ordinary Shares following the IPO during the previous years.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2023, 176,883 Class A Ordinary Shares were issued for the exercised share options. In addition, 90,000 Class B Ordinary Shares were converted into Class A Ordinary Shares. Moreover, 2,903,802 Class A Ordinary Shares were repurchased by the Group. As of December 31, 2023, the Company had 101,902,544 Class A Ordinary Shares and 102,764,550 Class B Ordinary Shares outstanding.</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2024, 355,542 Class A Ordinary Shares were issued for the exercised share options. In addition, 1,198,542 Class A Ordinary Shares were repurchased by the Group. As of December 31, 2024, the Company had 101,059,544 Class A Ordinary Shares and 102,764,550 Class B Ordinary Shares outstanding.</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2025, 1,218,363 Class A Ordinary Shares were issued for the exercised share options. In addition, 3,077,262 Class A Ordinary Shares were repurchased by the Group. 4 Class A Ordinary Shares and 2 Class B Ordinary Shares were cancelled by the Group. As of December 31, 2025, the Company had 99,200,641 Class A Ordinary Shares and 102,764,548 Class B Ordinary Shares outstanding.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Compensation expense recognized for share-based awards was as follows:</w:t>
      </w:r>
    </w:p>
    <w:p>
      <w:pPr>
        <w:spacing w:after="0" w:line="2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0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80" w:type="dxa"/>
            <w:vAlign w:val="bottom"/>
            <w:tcBorders>
              <w:top w:val="single" w:sz="8" w:color="auto"/>
            </w:tcBorders>
            <w:gridSpan w:val="3"/>
          </w:tcPr>
          <w:p>
            <w:pPr>
              <w:ind w:left="12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4700" w:type="dxa"/>
            <w:vAlign w:val="bottom"/>
          </w:tcPr>
          <w:p>
            <w:pPr>
              <w:spacing w:after="0"/>
              <w:rPr>
                <w:sz w:val="16"/>
                <w:szCs w:val="16"/>
                <w:color w:val="auto"/>
              </w:rPr>
            </w:pPr>
          </w:p>
        </w:tc>
        <w:tc>
          <w:tcPr>
            <w:tcW w:w="1080" w:type="dxa"/>
            <w:vAlign w:val="bottom"/>
            <w:tcBorders>
              <w:top w:val="single" w:sz="8" w:color="auto"/>
            </w:tcBorders>
          </w:tcPr>
          <w:p>
            <w:pPr>
              <w:ind w:left="56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4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top w:val="single" w:sz="8" w:color="auto"/>
            </w:tcBorders>
          </w:tcPr>
          <w:p>
            <w:pPr>
              <w:ind w:left="54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Borders>
              <w:top w:val="single" w:sz="8" w:color="auto"/>
            </w:tcBorders>
          </w:tcPr>
          <w:p>
            <w:pPr>
              <w:ind w:left="52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gridSpan w:val="2"/>
          </w:tcPr>
          <w:p>
            <w:pPr>
              <w:spacing w:after="0"/>
              <w:rPr>
                <w:sz w:val="16"/>
                <w:szCs w:val="16"/>
                <w:color w:val="auto"/>
              </w:rPr>
            </w:pPr>
          </w:p>
        </w:tc>
      </w:tr>
      <w:tr>
        <w:trPr>
          <w:trHeight w:val="21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 expenses</w:t>
            </w:r>
          </w:p>
        </w:tc>
        <w:tc>
          <w:tcPr>
            <w:tcW w:w="10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5"/>
        </w:trPr>
        <w:tc>
          <w:tcPr>
            <w:tcW w:w="4700" w:type="dxa"/>
            <w:vAlign w:val="bottom"/>
          </w:tcPr>
          <w:p>
            <w:pPr>
              <w:spacing w:after="0" w:line="245" w:lineRule="exact"/>
              <w:rPr>
                <w:sz w:val="20"/>
                <w:szCs w:val="20"/>
                <w:color w:val="auto"/>
              </w:rPr>
            </w:pPr>
            <w:r>
              <w:rPr>
                <w:rFonts w:ascii="Times New Roman" w:cs="Times New Roman" w:eastAsia="Times New Roman" w:hAnsi="Times New Roman"/>
                <w:sz w:val="17"/>
                <w:szCs w:val="17"/>
                <w:color w:val="auto"/>
              </w:rPr>
              <w:t>—Share options</w:t>
            </w:r>
            <w:r>
              <w:rPr>
                <w:rFonts w:ascii="Times New Roman" w:cs="Times New Roman" w:eastAsia="Times New Roman" w:hAnsi="Times New Roman"/>
                <w:sz w:val="28"/>
                <w:szCs w:val="28"/>
                <w:color w:val="auto"/>
                <w:vertAlign w:val="superscript"/>
              </w:rPr>
              <w:t>(a)</w:t>
            </w:r>
          </w:p>
        </w:tc>
        <w:tc>
          <w:tcPr>
            <w:tcW w:w="10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106</w:t>
            </w:r>
          </w:p>
        </w:tc>
        <w:tc>
          <w:tcPr>
            <w:tcW w:w="98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16,450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14,080</w:t>
            </w:r>
          </w:p>
        </w:tc>
        <w:tc>
          <w:tcPr>
            <w:tcW w:w="60" w:type="dxa"/>
            <w:vAlign w:val="bottom"/>
          </w:tcPr>
          <w:p>
            <w:pPr>
              <w:spacing w:after="0"/>
              <w:rPr>
                <w:sz w:val="21"/>
                <w:szCs w:val="2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0" w:hanging="599"/>
        <w:spacing w:after="0"/>
        <w:tabs>
          <w:tab w:leader="none" w:pos="600" w:val="left"/>
        </w:tabs>
        <w:numPr>
          <w:ilvl w:val="0"/>
          <w:numId w:val="16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Share options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On September 17, 2015, the Board of Directors of the Company approved the establishment of 2015 Share Incentive Plan, the purpose of which is to provide an incentive for employees contributing to the Group. The 2015 Share Incentive Plan shall be valid and effective for 10 years from the grant date. The maximum number of shares that may be issued pursuant to all awards (including incentive share options) under 2015 Share Incentive Plan shall be 12,727,272 shares.</w:t>
      </w:r>
    </w:p>
    <w:p>
      <w:pPr>
        <w:spacing w:after="0" w:line="174"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In June 2018, the Board of Directors and shareholders of the Company approved the 2018 Share Incentive Plan. As of December 31, 2025, the maximum of shares that may be issued under the 2018 Share Incentive Plan was 32,148,434.</w:t>
      </w:r>
    </w:p>
    <w:p>
      <w:pPr>
        <w:spacing w:after="0" w:line="158" w:lineRule="exact"/>
        <w:rPr>
          <w:rFonts w:ascii="Times New Roman" w:cs="Times New Roman" w:eastAsia="Times New Roman" w:hAnsi="Times New Roman"/>
          <w:sz w:val="17"/>
          <w:szCs w:val="17"/>
          <w:b w:val="1"/>
          <w:bCs w:val="1"/>
          <w:i w:val="1"/>
          <w:iCs w:val="1"/>
          <w:color w:val="auto"/>
        </w:rPr>
      </w:pPr>
    </w:p>
    <w:p>
      <w:pPr>
        <w:ind w:left="6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the year ended December 31, 2023, the Company didn’t grant share options to employees pursuant to the 2018 Share Incentive Plan.</w:t>
      </w:r>
    </w:p>
    <w:p>
      <w:pPr>
        <w:spacing w:after="0" w:line="207"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the year ended December 31, 2024, the Company granted 11,920,000 share options to employees pursuant to the 2018 Share Incentive Plan. Among which, with respect to the share options granted, 40% of the options will be vested after 24 months of the vesting commencement date and the remaining 60% will be vested in three equal installments over the following 36 months.</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For the year ended December 31, 2025, the Company granted 4,880,000 share options to employees pursuant to the 2018 Share Incentive Plan. Among which, with respect to the share options granted, 40% of the options will be vested after 24 months of the vesting commencement date and the remaining 60% will be vested in three equal installments over the following 36 months.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calculated the estimated fair value of the options on the respective grant dates using the binomial option pricing model. Assumptions used to determine the fair value of share options granted during 2024 and 2025 are summarized in the following table:</w:t>
      </w:r>
    </w:p>
    <w:p>
      <w:pPr>
        <w:spacing w:after="0" w:line="167"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6000" w:type="dxa"/>
            <w:vAlign w:val="bottom"/>
          </w:tcPr>
          <w:p>
            <w:pPr>
              <w:spacing w:after="0"/>
              <w:rPr>
                <w:sz w:val="19"/>
                <w:szCs w:val="19"/>
                <w:color w:val="auto"/>
              </w:rPr>
            </w:pPr>
          </w:p>
        </w:tc>
        <w:tc>
          <w:tcPr>
            <w:tcW w:w="3780" w:type="dxa"/>
            <w:vAlign w:val="bottom"/>
            <w:gridSpan w:val="4"/>
          </w:tcPr>
          <w:p>
            <w:pPr>
              <w:jc w:val="right"/>
              <w:ind w:right="10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07"/>
        </w:trPr>
        <w:tc>
          <w:tcPr>
            <w:tcW w:w="600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r>
      <w:tr>
        <w:trPr>
          <w:trHeight w:val="194"/>
        </w:trPr>
        <w:tc>
          <w:tcPr>
            <w:tcW w:w="6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Risk-free interest rate</w:t>
            </w:r>
          </w:p>
        </w:tc>
        <w:tc>
          <w:tcPr>
            <w:tcW w:w="1980" w:type="dxa"/>
            <w:vAlign w:val="bottom"/>
            <w:gridSpan w:val="2"/>
            <w:shd w:val="clear" w:color="auto" w:fill="CCEEFF"/>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3.90%-4.38%</w:t>
            </w:r>
          </w:p>
        </w:tc>
        <w:tc>
          <w:tcPr>
            <w:tcW w:w="180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4.35%-4.40%</w:t>
            </w:r>
          </w:p>
        </w:tc>
      </w:tr>
      <w:tr>
        <w:trPr>
          <w:trHeight w:val="267"/>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59.20%-59.21%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60.31%-61.13%</w:t>
            </w:r>
          </w:p>
        </w:tc>
      </w:tr>
      <w:tr>
        <w:trPr>
          <w:trHeight w:val="180"/>
        </w:trPr>
        <w:tc>
          <w:tcPr>
            <w:tcW w:w="60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Expected life of option (years)</w:t>
            </w:r>
          </w:p>
        </w:tc>
        <w:tc>
          <w:tcPr>
            <w:tcW w:w="16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20</w:t>
            </w:r>
          </w:p>
        </w:tc>
        <w:tc>
          <w:tcPr>
            <w:tcW w:w="34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top w:val="single" w:sz="8" w:color="CCEEFF"/>
            </w:tcBorders>
            <w:shd w:val="clear" w:color="auto" w:fill="CCEEFF"/>
          </w:tcPr>
          <w:p>
            <w:pPr>
              <w:spacing w:after="0"/>
              <w:rPr>
                <w:sz w:val="15"/>
                <w:szCs w:val="15"/>
                <w:color w:val="auto"/>
              </w:rPr>
            </w:pP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per ordinary share</w:t>
            </w:r>
          </w:p>
        </w:tc>
        <w:tc>
          <w:tcPr>
            <w:tcW w:w="1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0.13-0.53</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0.45-1.01</w:t>
            </w:r>
          </w:p>
        </w:tc>
      </w:tr>
    </w:tbl>
    <w:p>
      <w:pPr>
        <w:spacing w:after="0" w:line="181" w:lineRule="exact"/>
        <w:rPr>
          <w:sz w:val="20"/>
          <w:szCs w:val="20"/>
          <w:color w:val="auto"/>
        </w:rPr>
      </w:pPr>
    </w:p>
    <w:p>
      <w:pPr>
        <w:ind w:left="600" w:hanging="599"/>
        <w:spacing w:after="0"/>
        <w:tabs>
          <w:tab w:leader="none" w:pos="600" w:val="left"/>
        </w:tabs>
        <w:numPr>
          <w:ilvl w:val="0"/>
          <w:numId w:val="1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Risk-free interest rate</w:t>
      </w:r>
    </w:p>
    <w:p>
      <w:pPr>
        <w:spacing w:after="0" w:line="211"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Risk-free interest rate was estimated based on the yield to maturity of US Treasury Strip with a maturity period close to the contractual term of the options.</w:t>
      </w:r>
    </w:p>
    <w:p>
      <w:pPr>
        <w:spacing w:after="0" w:line="203" w:lineRule="exact"/>
        <w:rPr>
          <w:rFonts w:ascii="Times New Roman" w:cs="Times New Roman" w:eastAsia="Times New Roman" w:hAnsi="Times New Roman"/>
          <w:sz w:val="17"/>
          <w:szCs w:val="17"/>
          <w:i w:val="1"/>
          <w:iCs w:val="1"/>
          <w:color w:val="auto"/>
        </w:rPr>
      </w:pPr>
    </w:p>
    <w:p>
      <w:pPr>
        <w:ind w:left="600" w:hanging="599"/>
        <w:spacing w:after="0"/>
        <w:tabs>
          <w:tab w:leader="none" w:pos="600" w:val="left"/>
        </w:tabs>
        <w:numPr>
          <w:ilvl w:val="0"/>
          <w:numId w:val="1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Expected life of option (years)</w:t>
      </w:r>
    </w:p>
    <w:p>
      <w:pPr>
        <w:spacing w:after="0" w:line="211"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Expected life of option (years) represents the expected years from the measurement date to the expiration date of the option.</w:t>
      </w:r>
    </w:p>
    <w:p>
      <w:pPr>
        <w:spacing w:after="0" w:line="203" w:lineRule="exact"/>
        <w:rPr>
          <w:rFonts w:ascii="Times New Roman" w:cs="Times New Roman" w:eastAsia="Times New Roman" w:hAnsi="Times New Roman"/>
          <w:sz w:val="17"/>
          <w:szCs w:val="17"/>
          <w:i w:val="1"/>
          <w:iCs w:val="1"/>
          <w:color w:val="auto"/>
        </w:rPr>
      </w:pPr>
    </w:p>
    <w:p>
      <w:pPr>
        <w:ind w:left="600" w:hanging="599"/>
        <w:spacing w:after="0"/>
        <w:tabs>
          <w:tab w:leader="none" w:pos="600" w:val="left"/>
        </w:tabs>
        <w:numPr>
          <w:ilvl w:val="0"/>
          <w:numId w:val="1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Volatility</w:t>
      </w:r>
    </w:p>
    <w:p>
      <w:pPr>
        <w:spacing w:after="0" w:line="211" w:lineRule="exact"/>
        <w:rPr>
          <w:rFonts w:ascii="Times New Roman" w:cs="Times New Roman" w:eastAsia="Times New Roman" w:hAnsi="Times New Roman"/>
          <w:sz w:val="17"/>
          <w:szCs w:val="17"/>
          <w:i w:val="1"/>
          <w:iCs w:val="1"/>
          <w:color w:val="auto"/>
        </w:rPr>
      </w:pPr>
    </w:p>
    <w:p>
      <w:pPr>
        <w:ind w:left="600"/>
        <w:spacing w:after="0" w:line="274"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volatility of the underlying ordinary shares during the life of the options was estimated based on the historical stock price volatility of comparable listed companies over a period comparable to the contractual term of the options.</w:t>
      </w:r>
    </w:p>
    <w:p>
      <w:pPr>
        <w:spacing w:after="0" w:line="154" w:lineRule="exact"/>
        <w:rPr>
          <w:rFonts w:ascii="Times New Roman" w:cs="Times New Roman" w:eastAsia="Times New Roman" w:hAnsi="Times New Roman"/>
          <w:sz w:val="17"/>
          <w:szCs w:val="17"/>
          <w:i w:val="1"/>
          <w:iCs w:val="1"/>
          <w:color w:val="auto"/>
        </w:rPr>
      </w:pPr>
    </w:p>
    <w:p>
      <w:pPr>
        <w:ind w:left="600" w:hanging="599"/>
        <w:spacing w:after="0"/>
        <w:tabs>
          <w:tab w:leader="none" w:pos="600" w:val="left"/>
        </w:tabs>
        <w:numPr>
          <w:ilvl w:val="0"/>
          <w:numId w:val="1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Dividend yield</w:t>
      </w:r>
    </w:p>
    <w:p>
      <w:pPr>
        <w:spacing w:after="0" w:line="211"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The dividend yield was estimated by the Group based on its expected dividend policy over the contractual term of the options.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summary of the stock option activity under the 2015 Share Incentive Plan and 2018 Share Incentive Plan for the years ended December 31, 2023, 2024, and 2025 is included in the table below.</w:t>
      </w:r>
    </w:p>
    <w:p>
      <w:pPr>
        <w:spacing w:after="0" w:line="155"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4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Aggregate</w:t>
            </w:r>
          </w:p>
        </w:tc>
      </w:tr>
      <w:tr>
        <w:trPr>
          <w:trHeight w:val="202"/>
        </w:trPr>
        <w:tc>
          <w:tcPr>
            <w:tcW w:w="452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exercise price</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contractual</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intrinsic value</w:t>
            </w:r>
          </w:p>
        </w:tc>
      </w:tr>
      <w:tr>
        <w:trPr>
          <w:trHeight w:val="222"/>
        </w:trPr>
        <w:tc>
          <w:tcPr>
            <w:tcW w:w="452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(US$)</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life (years)</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(US$)</w:t>
            </w:r>
          </w:p>
        </w:tc>
      </w:tr>
      <w:tr>
        <w:trPr>
          <w:trHeight w:val="207"/>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19,742,616</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22,974</w:t>
            </w:r>
          </w:p>
        </w:tc>
        <w:tc>
          <w:tcPr>
            <w:tcW w:w="80" w:type="dxa"/>
            <w:vAlign w:val="bottom"/>
            <w:tcBorders>
              <w:top w:val="single" w:sz="8" w:color="CCEEFF"/>
            </w:tcBorders>
            <w:shd w:val="clear" w:color="auto" w:fill="CCEEFF"/>
          </w:tcPr>
          <w:p>
            <w:pPr>
              <w:spacing w:after="0"/>
              <w:rPr>
                <w:sz w:val="18"/>
                <w:szCs w:val="18"/>
                <w:color w:val="auto"/>
              </w:rPr>
            </w:pPr>
          </w:p>
        </w:tc>
      </w:tr>
      <w:tr>
        <w:trPr>
          <w:trHeight w:val="194"/>
        </w:trPr>
        <w:tc>
          <w:tcPr>
            <w:tcW w:w="4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(5,047,307)</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0.78</w:t>
            </w: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(176,883)</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0.03</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45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Outstanding at December 31, 2023</w:t>
            </w:r>
          </w:p>
        </w:tc>
        <w:tc>
          <w:tcPr>
            <w:tcW w:w="10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14,518,426</w:t>
            </w:r>
          </w:p>
        </w:tc>
        <w:tc>
          <w:tcPr>
            <w:tcW w:w="3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gridSpan w:val="2"/>
            <w:shd w:val="clear" w:color="auto" w:fill="CCEEFF"/>
          </w:tcPr>
          <w:p>
            <w:pPr>
              <w:jc w:val="right"/>
              <w:ind w:right="300"/>
              <w:spacing w:after="0" w:line="194" w:lineRule="exact"/>
              <w:rPr>
                <w:sz w:val="20"/>
                <w:szCs w:val="20"/>
                <w:color w:val="auto"/>
              </w:rPr>
            </w:pPr>
            <w:r>
              <w:rPr>
                <w:rFonts w:ascii="Times New Roman" w:cs="Times New Roman" w:eastAsia="Times New Roman" w:hAnsi="Times New Roman"/>
                <w:sz w:val="17"/>
                <w:szCs w:val="17"/>
                <w:b w:val="1"/>
                <w:bCs w:val="1"/>
                <w:color w:val="auto"/>
              </w:rPr>
              <w:t>0.83</w:t>
            </w:r>
          </w:p>
        </w:tc>
        <w:tc>
          <w:tcPr>
            <w:tcW w:w="1340" w:type="dxa"/>
            <w:vAlign w:val="bottom"/>
            <w:tcBorders>
              <w:top w:val="single" w:sz="8" w:color="CCEEFF"/>
            </w:tcBorders>
            <w:gridSpan w:val="2"/>
            <w:shd w:val="clear" w:color="auto" w:fill="CCEEFF"/>
          </w:tcPr>
          <w:p>
            <w:pPr>
              <w:jc w:val="right"/>
              <w:ind w:right="280"/>
              <w:spacing w:after="0" w:line="194" w:lineRule="exact"/>
              <w:rPr>
                <w:sz w:val="20"/>
                <w:szCs w:val="20"/>
                <w:color w:val="auto"/>
              </w:rPr>
            </w:pPr>
            <w:r>
              <w:rPr>
                <w:rFonts w:ascii="Times New Roman" w:cs="Times New Roman" w:eastAsia="Times New Roman" w:hAnsi="Times New Roman"/>
                <w:sz w:val="17"/>
                <w:szCs w:val="17"/>
                <w:b w:val="1"/>
                <w:bCs w:val="1"/>
                <w:color w:val="auto"/>
              </w:rPr>
              <w:t>5.58</w:t>
            </w:r>
          </w:p>
        </w:tc>
        <w:tc>
          <w:tcPr>
            <w:tcW w:w="1140" w:type="dxa"/>
            <w:vAlign w:val="bottom"/>
            <w:tcBorders>
              <w:top w:val="single" w:sz="8" w:color="CCEEFF"/>
            </w:tcBorders>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7"/>
                <w:szCs w:val="17"/>
                <w:b w:val="1"/>
                <w:bCs w:val="1"/>
                <w:color w:val="auto"/>
              </w:rPr>
              <w:t>15,553</w:t>
            </w:r>
          </w:p>
        </w:tc>
      </w:tr>
      <w:tr>
        <w:trPr>
          <w:trHeight w:val="194"/>
        </w:trPr>
        <w:tc>
          <w:tcPr>
            <w:tcW w:w="4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11,920,000</w:t>
            </w:r>
          </w:p>
        </w:tc>
        <w:tc>
          <w:tcPr>
            <w:tcW w:w="30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0.11</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(1,642,047)</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0.54</w:t>
            </w: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(355,543)</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0.04</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45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Outstanding at December 31, 2024</w:t>
            </w:r>
          </w:p>
        </w:tc>
        <w:tc>
          <w:tcPr>
            <w:tcW w:w="10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24,440,836</w:t>
            </w:r>
          </w:p>
        </w:tc>
        <w:tc>
          <w:tcPr>
            <w:tcW w:w="3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gridSpan w:val="2"/>
            <w:shd w:val="clear" w:color="auto" w:fill="CCEEFF"/>
          </w:tcPr>
          <w:p>
            <w:pPr>
              <w:jc w:val="right"/>
              <w:ind w:right="300"/>
              <w:spacing w:after="0" w:line="194" w:lineRule="exact"/>
              <w:rPr>
                <w:sz w:val="20"/>
                <w:szCs w:val="20"/>
                <w:color w:val="auto"/>
              </w:rPr>
            </w:pPr>
            <w:r>
              <w:rPr>
                <w:rFonts w:ascii="Times New Roman" w:cs="Times New Roman" w:eastAsia="Times New Roman" w:hAnsi="Times New Roman"/>
                <w:sz w:val="17"/>
                <w:szCs w:val="17"/>
                <w:b w:val="1"/>
                <w:bCs w:val="1"/>
                <w:color w:val="auto"/>
              </w:rPr>
              <w:t>0.51</w:t>
            </w:r>
          </w:p>
        </w:tc>
        <w:tc>
          <w:tcPr>
            <w:tcW w:w="1340" w:type="dxa"/>
            <w:vAlign w:val="bottom"/>
            <w:tcBorders>
              <w:top w:val="single" w:sz="8" w:color="CCEEFF"/>
            </w:tcBorders>
            <w:gridSpan w:val="2"/>
            <w:shd w:val="clear" w:color="auto" w:fill="CCEEFF"/>
          </w:tcPr>
          <w:p>
            <w:pPr>
              <w:jc w:val="right"/>
              <w:ind w:right="280"/>
              <w:spacing w:after="0" w:line="194" w:lineRule="exact"/>
              <w:rPr>
                <w:sz w:val="20"/>
                <w:szCs w:val="20"/>
                <w:color w:val="auto"/>
              </w:rPr>
            </w:pPr>
            <w:r>
              <w:rPr>
                <w:rFonts w:ascii="Times New Roman" w:cs="Times New Roman" w:eastAsia="Times New Roman" w:hAnsi="Times New Roman"/>
                <w:sz w:val="17"/>
                <w:szCs w:val="17"/>
                <w:b w:val="1"/>
                <w:bCs w:val="1"/>
                <w:color w:val="auto"/>
              </w:rPr>
              <w:t>11.43</w:t>
            </w:r>
          </w:p>
        </w:tc>
        <w:tc>
          <w:tcPr>
            <w:tcW w:w="1140" w:type="dxa"/>
            <w:vAlign w:val="bottom"/>
            <w:tcBorders>
              <w:top w:val="single" w:sz="8" w:color="CCEEFF"/>
            </w:tcBorders>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7"/>
                <w:szCs w:val="17"/>
                <w:b w:val="1"/>
                <w:bCs w:val="1"/>
                <w:color w:val="auto"/>
              </w:rPr>
              <w:t>19,794</w:t>
            </w:r>
          </w:p>
        </w:tc>
      </w:tr>
      <w:tr>
        <w:trPr>
          <w:trHeight w:val="194"/>
        </w:trPr>
        <w:tc>
          <w:tcPr>
            <w:tcW w:w="4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4,880,000</w:t>
            </w:r>
          </w:p>
        </w:tc>
        <w:tc>
          <w:tcPr>
            <w:tcW w:w="30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0.11</w:t>
            </w:r>
          </w:p>
        </w:tc>
        <w:tc>
          <w:tcPr>
            <w:tcW w:w="300" w:type="dxa"/>
            <w:vAlign w:val="bottom"/>
          </w:tcPr>
          <w:p>
            <w:pPr>
              <w:spacing w:after="0"/>
              <w:rPr>
                <w:sz w:val="16"/>
                <w:szCs w:val="16"/>
                <w:color w:val="auto"/>
              </w:rPr>
            </w:pPr>
          </w:p>
        </w:tc>
        <w:tc>
          <w:tcPr>
            <w:tcW w:w="134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7"/>
                <w:szCs w:val="17"/>
                <w:color w:val="auto"/>
              </w:rPr>
              <w:t>-</w:t>
            </w:r>
          </w:p>
        </w:tc>
      </w:tr>
      <w:tr>
        <w:trPr>
          <w:trHeight w:val="20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(3,065,568)</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0.17</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(1,218,363)</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0.82</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194"/>
        </w:trPr>
        <w:tc>
          <w:tcPr>
            <w:tcW w:w="45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Outstanding at December 31, 2025</w:t>
            </w:r>
          </w:p>
        </w:tc>
        <w:tc>
          <w:tcPr>
            <w:tcW w:w="10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25,036,905</w:t>
            </w:r>
          </w:p>
        </w:tc>
        <w:tc>
          <w:tcPr>
            <w:tcW w:w="3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gridSpan w:val="2"/>
            <w:shd w:val="clear" w:color="auto" w:fill="CCEEFF"/>
          </w:tcPr>
          <w:p>
            <w:pPr>
              <w:jc w:val="right"/>
              <w:ind w:right="300"/>
              <w:spacing w:after="0" w:line="194" w:lineRule="exact"/>
              <w:rPr>
                <w:sz w:val="20"/>
                <w:szCs w:val="20"/>
                <w:color w:val="auto"/>
              </w:rPr>
            </w:pPr>
            <w:r>
              <w:rPr>
                <w:rFonts w:ascii="Times New Roman" w:cs="Times New Roman" w:eastAsia="Times New Roman" w:hAnsi="Times New Roman"/>
                <w:sz w:val="17"/>
                <w:szCs w:val="17"/>
                <w:b w:val="1"/>
                <w:bCs w:val="1"/>
                <w:color w:val="auto"/>
              </w:rPr>
              <w:t>0.46</w:t>
            </w:r>
          </w:p>
        </w:tc>
        <w:tc>
          <w:tcPr>
            <w:tcW w:w="1340" w:type="dxa"/>
            <w:vAlign w:val="bottom"/>
            <w:tcBorders>
              <w:top w:val="single" w:sz="8" w:color="CCEEFF"/>
            </w:tcBorders>
            <w:gridSpan w:val="2"/>
            <w:shd w:val="clear" w:color="auto" w:fill="CCEEFF"/>
          </w:tcPr>
          <w:p>
            <w:pPr>
              <w:jc w:val="right"/>
              <w:ind w:right="280"/>
              <w:spacing w:after="0" w:line="194" w:lineRule="exact"/>
              <w:rPr>
                <w:sz w:val="20"/>
                <w:szCs w:val="20"/>
                <w:color w:val="auto"/>
              </w:rPr>
            </w:pPr>
            <w:r>
              <w:rPr>
                <w:rFonts w:ascii="Times New Roman" w:cs="Times New Roman" w:eastAsia="Times New Roman" w:hAnsi="Times New Roman"/>
                <w:sz w:val="17"/>
                <w:szCs w:val="17"/>
                <w:b w:val="1"/>
                <w:bCs w:val="1"/>
                <w:color w:val="auto"/>
              </w:rPr>
              <w:t>11.73</w:t>
            </w:r>
          </w:p>
        </w:tc>
        <w:tc>
          <w:tcPr>
            <w:tcW w:w="1140" w:type="dxa"/>
            <w:vAlign w:val="bottom"/>
            <w:tcBorders>
              <w:top w:val="single" w:sz="8" w:color="CCEEFF"/>
            </w:tcBorders>
            <w:gridSpan w:val="2"/>
            <w:shd w:val="clear" w:color="auto" w:fill="CCEEFF"/>
          </w:tcPr>
          <w:p>
            <w:pPr>
              <w:jc w:val="right"/>
              <w:ind w:right="80"/>
              <w:spacing w:after="0" w:line="194" w:lineRule="exact"/>
              <w:rPr>
                <w:sz w:val="20"/>
                <w:szCs w:val="20"/>
                <w:color w:val="auto"/>
              </w:rPr>
            </w:pPr>
            <w:r>
              <w:rPr>
                <w:rFonts w:ascii="Times New Roman" w:cs="Times New Roman" w:eastAsia="Times New Roman" w:hAnsi="Times New Roman"/>
                <w:sz w:val="17"/>
                <w:szCs w:val="17"/>
                <w:b w:val="1"/>
                <w:bCs w:val="1"/>
                <w:color w:val="auto"/>
              </w:rPr>
              <w:t>21,353</w:t>
            </w:r>
          </w:p>
        </w:tc>
      </w:tr>
      <w:tr>
        <w:trPr>
          <w:trHeight w:val="194"/>
        </w:trPr>
        <w:tc>
          <w:tcPr>
            <w:tcW w:w="45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Exercisable as of December 31, 2025</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11,366,907</w:t>
            </w:r>
          </w:p>
        </w:tc>
        <w:tc>
          <w:tcPr>
            <w:tcW w:w="300" w:type="dxa"/>
            <w:vAlign w:val="bottom"/>
          </w:tcPr>
          <w:p>
            <w:pPr>
              <w:spacing w:after="0"/>
              <w:rPr>
                <w:sz w:val="16"/>
                <w:szCs w:val="16"/>
                <w:color w:val="auto"/>
              </w:rPr>
            </w:pPr>
          </w:p>
        </w:tc>
        <w:tc>
          <w:tcPr>
            <w:tcW w:w="140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7"/>
                <w:szCs w:val="17"/>
                <w:b w:val="1"/>
                <w:bCs w:val="1"/>
                <w:color w:val="auto"/>
              </w:rPr>
              <w:t>0.82</w:t>
            </w:r>
          </w:p>
        </w:tc>
        <w:tc>
          <w:tcPr>
            <w:tcW w:w="1340" w:type="dxa"/>
            <w:vAlign w:val="bottom"/>
            <w:gridSpan w:val="2"/>
          </w:tcPr>
          <w:p>
            <w:pPr>
              <w:jc w:val="right"/>
              <w:ind w:right="280"/>
              <w:spacing w:after="0" w:line="194" w:lineRule="exact"/>
              <w:rPr>
                <w:sz w:val="20"/>
                <w:szCs w:val="20"/>
                <w:color w:val="auto"/>
              </w:rPr>
            </w:pPr>
            <w:r>
              <w:rPr>
                <w:rFonts w:ascii="Times New Roman" w:cs="Times New Roman" w:eastAsia="Times New Roman" w:hAnsi="Times New Roman"/>
                <w:sz w:val="17"/>
                <w:szCs w:val="17"/>
                <w:b w:val="1"/>
                <w:bCs w:val="1"/>
                <w:color w:val="auto"/>
              </w:rPr>
              <w:t>3.48</w:t>
            </w:r>
          </w:p>
        </w:tc>
        <w:tc>
          <w:tcPr>
            <w:tcW w:w="1140" w:type="dxa"/>
            <w:vAlign w:val="bottom"/>
            <w:gridSpan w:val="2"/>
          </w:tcPr>
          <w:p>
            <w:pPr>
              <w:jc w:val="right"/>
              <w:ind w:right="80"/>
              <w:spacing w:after="0" w:line="194" w:lineRule="exact"/>
              <w:rPr>
                <w:sz w:val="20"/>
                <w:szCs w:val="20"/>
                <w:color w:val="auto"/>
              </w:rPr>
            </w:pPr>
            <w:r>
              <w:rPr>
                <w:rFonts w:ascii="Times New Roman" w:cs="Times New Roman" w:eastAsia="Times New Roman" w:hAnsi="Times New Roman"/>
                <w:sz w:val="17"/>
                <w:szCs w:val="17"/>
                <w:b w:val="1"/>
                <w:bCs w:val="1"/>
                <w:color w:val="auto"/>
              </w:rPr>
              <w:t>12,840</w:t>
            </w:r>
          </w:p>
        </w:tc>
      </w:tr>
      <w:tr>
        <w:trPr>
          <w:trHeight w:val="20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Expected to vest as of December 31, 2025</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13,557,594</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0.15</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18.59</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8,328</w:t>
            </w:r>
          </w:p>
        </w:tc>
      </w:tr>
    </w:tbl>
    <w:p>
      <w:pPr>
        <w:spacing w:after="0" w:line="185"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The weighted average grant date fair value of options granted for the years ended December 31, 2024 and 2025 was RMB3.26 (US$0.45) per option and RMB6.56 (US$0.92) per option, respectively.</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As of December 31, 2024 and 2025, there was RMB36,988 and RMB40,415 (US$5,658) of unrecognized compensation expenses related to the options, respectively.</w:t>
      </w:r>
    </w:p>
    <w:p>
      <w:pPr>
        <w:spacing w:after="0" w:line="155" w:lineRule="exact"/>
        <w:rPr>
          <w:sz w:val="20"/>
          <w:szCs w:val="20"/>
          <w:color w:val="auto"/>
        </w:rPr>
      </w:pPr>
    </w:p>
    <w:p>
      <w:pPr>
        <w:ind w:left="600" w:hanging="599"/>
        <w:spacing w:after="0"/>
        <w:tabs>
          <w:tab w:leader="none" w:pos="600" w:val="left"/>
        </w:tabs>
        <w:numPr>
          <w:ilvl w:val="0"/>
          <w:numId w:val="17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Restricted shares to an investee</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 described in Note 1, the Group established Guangdong Lizi in July 2018 as a subsidiary of the Company. In November 2020, following the Group’s restructuring plan on its water purifiers business, the Group entered into an agreement with Sunglow to sell 1% of equity interest of Guangdong Lizi for a consideration of RMB175. Sunglow has paid up the consideration in December 2021 but is not entitled to any shareholder’s rights of Guangdong Lizi until the fulfilment of certain conditions pursuant to the supplemental agreement in November 2021.</w:t>
      </w:r>
    </w:p>
    <w:p>
      <w:pPr>
        <w:spacing w:after="0" w:line="174"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Under the requirement of ASC 718, the Group should recognize share-based compensation if there is a difference between the fair value of Guangdong Lizi’s 1% of equity interest and the consideration paid up by Sunglow on the date of capital injection. The Group calculated the estimated fair value of the options on the respective grant dates using the discounted cash flow model.</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As of December 31, 2024, there were RMB10,284 of unrecognized compensation expenses related to restricted shares granted to Sunglow for which the performance conditions had not been met and are expected to be recognized when the performance conditions are achieved under the requirement of ASC718.</w:t>
      </w:r>
    </w:p>
    <w:p>
      <w:pPr>
        <w:spacing w:after="0" w:line="169" w:lineRule="exact"/>
        <w:rPr>
          <w:rFonts w:ascii="Times New Roman" w:cs="Times New Roman" w:eastAsia="Times New Roman" w:hAnsi="Times New Roman"/>
          <w:sz w:val="17"/>
          <w:szCs w:val="17"/>
          <w:b w:val="1"/>
          <w:bCs w:val="1"/>
          <w:i w:val="1"/>
          <w:iCs w:val="1"/>
          <w:color w:val="auto"/>
        </w:rPr>
      </w:pPr>
    </w:p>
    <w:p>
      <w:pPr>
        <w:ind w:left="600"/>
        <w:spacing w:after="0" w:line="274"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During 2025, Sunglow exited the arrangement. Accordingly, there will be no more unrecognized compensation expenses associated with restricted shares granted to Sunglow to be recognized in future periods.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INCOME PER SHARE</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Basic net income per share is the amount of net income available to each share of ordinary shares outstanding during the reporting period. Diluted net income per share is the amount of net income available to each share of ordinary shares outstanding during the reporting period adjusted to include the effect of potentially dilutive ordinary shares.</w:t>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Numerator:</w:t>
      </w:r>
    </w:p>
    <w:p>
      <w:pPr>
        <w:spacing w:after="0" w:line="26" w:lineRule="exact"/>
        <w:rPr>
          <w:sz w:val="20"/>
          <w:szCs w:val="20"/>
          <w:color w:val="auto"/>
        </w:rPr>
      </w:pPr>
    </w:p>
    <w:p>
      <w:pPr>
        <w:ind w:left="600"/>
        <w:spacing w:after="0" w:line="251" w:lineRule="auto"/>
        <w:rPr>
          <w:sz w:val="20"/>
          <w:szCs w:val="20"/>
          <w:color w:val="auto"/>
        </w:rPr>
      </w:pPr>
      <w:r>
        <w:rPr>
          <w:rFonts w:ascii="Times New Roman" w:cs="Times New Roman" w:eastAsia="Times New Roman" w:hAnsi="Times New Roman"/>
          <w:sz w:val="17"/>
          <w:szCs w:val="17"/>
          <w:b w:val="1"/>
          <w:bCs w:val="1"/>
          <w:color w:val="auto"/>
        </w:rPr>
        <w:t>Numerator for basic calculation - Net income attributable to ordinary shareholders of the Company from continuing operations</w:t>
      </w:r>
    </w:p>
    <w:p>
      <w:pPr>
        <w:spacing w:after="0" w:line="2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Denominator:</w:t>
      </w:r>
    </w:p>
    <w:p>
      <w:pPr>
        <w:spacing w:after="0" w:line="26" w:lineRule="exact"/>
        <w:rPr>
          <w:sz w:val="20"/>
          <w:szCs w:val="20"/>
          <w:color w:val="auto"/>
        </w:rPr>
      </w:pPr>
    </w:p>
    <w:p>
      <w:pPr>
        <w:ind w:left="600" w:right="480"/>
        <w:spacing w:after="0" w:line="247" w:lineRule="auto"/>
        <w:rPr>
          <w:sz w:val="20"/>
          <w:szCs w:val="20"/>
          <w:color w:val="auto"/>
        </w:rPr>
      </w:pPr>
      <w:r>
        <w:rPr>
          <w:rFonts w:ascii="Times New Roman" w:cs="Times New Roman" w:eastAsia="Times New Roman" w:hAnsi="Times New Roman"/>
          <w:sz w:val="17"/>
          <w:szCs w:val="17"/>
          <w:b w:val="1"/>
          <w:bCs w:val="1"/>
          <w:color w:val="auto"/>
        </w:rPr>
        <w:t>Denominator for basic calculation - weighted average ordinary shares outstanding</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Dilutive effect of share options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Denominator for diluted calculation</w:t>
      </w:r>
    </w:p>
    <w:p>
      <w:pPr>
        <w:spacing w:after="0" w:line="264" w:lineRule="exact"/>
        <w:rPr>
          <w:sz w:val="20"/>
          <w:szCs w:val="20"/>
          <w:color w:val="auto"/>
        </w:rPr>
      </w:pPr>
    </w:p>
    <w:p>
      <w:pPr>
        <w:ind w:left="600" w:right="520"/>
        <w:spacing w:after="0" w:line="259" w:lineRule="auto"/>
        <w:rPr>
          <w:sz w:val="20"/>
          <w:szCs w:val="20"/>
          <w:color w:val="auto"/>
        </w:rPr>
      </w:pPr>
      <w:r>
        <w:rPr>
          <w:rFonts w:ascii="Times New Roman" w:cs="Times New Roman" w:eastAsia="Times New Roman" w:hAnsi="Times New Roman"/>
          <w:sz w:val="17"/>
          <w:szCs w:val="17"/>
          <w:b w:val="1"/>
          <w:bCs w:val="1"/>
          <w:color w:val="auto"/>
        </w:rPr>
        <w:t>Basic net income per ordinary share from continuing operations</w:t>
      </w:r>
    </w:p>
    <w:p>
      <w:pPr>
        <w:spacing w:after="0" w:line="2" w:lineRule="exact"/>
        <w:rPr>
          <w:sz w:val="20"/>
          <w:szCs w:val="20"/>
          <w:color w:val="auto"/>
        </w:rPr>
      </w:pPr>
    </w:p>
    <w:p>
      <w:pPr>
        <w:ind w:left="600" w:right="360"/>
        <w:spacing w:after="0" w:line="255" w:lineRule="auto"/>
        <w:rPr>
          <w:sz w:val="20"/>
          <w:szCs w:val="20"/>
          <w:color w:val="auto"/>
        </w:rPr>
      </w:pPr>
      <w:r>
        <w:rPr>
          <w:rFonts w:ascii="Times New Roman" w:cs="Times New Roman" w:eastAsia="Times New Roman" w:hAnsi="Times New Roman"/>
          <w:sz w:val="17"/>
          <w:szCs w:val="17"/>
          <w:b w:val="1"/>
          <w:bCs w:val="1"/>
          <w:color w:val="auto"/>
        </w:rPr>
        <w:t>Diluted net income per ordinary share from continuing operations</w:t>
      </w:r>
    </w:p>
    <w:p>
      <w:pPr>
        <w:spacing w:after="0" w:line="170" w:lineRule="exact"/>
        <w:rPr>
          <w:sz w:val="20"/>
          <w:szCs w:val="20"/>
          <w:color w:val="auto"/>
        </w:rPr>
      </w:pPr>
    </w:p>
    <w:p>
      <w:pPr>
        <w:ind w:left="600" w:right="1540" w:hanging="599"/>
        <w:spacing w:after="0" w:line="527" w:lineRule="auto"/>
        <w:tabs>
          <w:tab w:leader="none" w:pos="600" w:val="left"/>
        </w:tabs>
        <w:numPr>
          <w:ilvl w:val="0"/>
          <w:numId w:val="1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r>
      <w:tr>
        <w:trPr>
          <w:trHeight w:val="214"/>
        </w:trPr>
        <w:tc>
          <w:tcPr>
            <w:tcW w:w="1480" w:type="dxa"/>
            <w:vAlign w:val="bottom"/>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8"/>
                <w:szCs w:val="18"/>
                <w:color w:val="auto"/>
              </w:rPr>
            </w:pPr>
          </w:p>
        </w:tc>
        <w:tc>
          <w:tcPr>
            <w:tcW w:w="1480" w:type="dxa"/>
            <w:vAlign w:val="bottom"/>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8"/>
                <w:szCs w:val="18"/>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8"/>
                <w:szCs w:val="18"/>
                <w:color w:val="auto"/>
              </w:rPr>
            </w:pPr>
          </w:p>
        </w:tc>
      </w:tr>
      <w:tr>
        <w:trPr>
          <w:trHeight w:val="812"/>
        </w:trPr>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116,768</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144,364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141,644</w:t>
            </w:r>
          </w:p>
        </w:tc>
        <w:tc>
          <w:tcPr>
            <w:tcW w:w="20" w:type="dxa"/>
            <w:vAlign w:val="bottom"/>
          </w:tcPr>
          <w:p>
            <w:pPr>
              <w:spacing w:after="0"/>
              <w:rPr>
                <w:sz w:val="24"/>
                <w:szCs w:val="24"/>
                <w:color w:val="auto"/>
              </w:rPr>
            </w:pP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781"/>
        </w:trPr>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206,387,105</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204,787,786</w:t>
            </w: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203,997,871</w:t>
            </w:r>
          </w:p>
        </w:tc>
        <w:tc>
          <w:tcPr>
            <w:tcW w:w="20" w:type="dxa"/>
            <w:vAlign w:val="bottom"/>
          </w:tcPr>
          <w:p>
            <w:pPr>
              <w:spacing w:after="0"/>
              <w:rPr>
                <w:sz w:val="24"/>
                <w:szCs w:val="24"/>
                <w:color w:val="auto"/>
              </w:rPr>
            </w:pPr>
          </w:p>
        </w:tc>
      </w:tr>
      <w:tr>
        <w:trPr>
          <w:trHeight w:val="218"/>
        </w:trPr>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1,280,658</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1,903,131</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6,922,622</w:t>
            </w:r>
          </w:p>
        </w:tc>
        <w:tc>
          <w:tcPr>
            <w:tcW w:w="20" w:type="dxa"/>
            <w:vAlign w:val="bottom"/>
          </w:tcPr>
          <w:p>
            <w:pPr>
              <w:spacing w:after="0"/>
              <w:rPr>
                <w:sz w:val="18"/>
                <w:szCs w:val="18"/>
                <w:color w:val="auto"/>
              </w:rPr>
            </w:pPr>
          </w:p>
        </w:tc>
      </w:tr>
      <w:tr>
        <w:trPr>
          <w:trHeight w:val="207"/>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207,667,763</w:t>
            </w:r>
          </w:p>
        </w:tc>
        <w:tc>
          <w:tcPr>
            <w:tcW w:w="3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206,690,917</w:t>
            </w:r>
          </w:p>
        </w:tc>
        <w:tc>
          <w:tcPr>
            <w:tcW w:w="3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210,920,493</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3"/>
        </w:trPr>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0.57</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0.70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0.69</w:t>
            </w:r>
          </w:p>
        </w:tc>
      </w:tr>
      <w:tr>
        <w:trPr>
          <w:trHeight w:val="403"/>
        </w:trPr>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0.56</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0.70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-2008505</wp:posOffset>
            </wp:positionV>
            <wp:extent cx="6212840" cy="1282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-1471930</wp:posOffset>
            </wp:positionV>
            <wp:extent cx="6212840" cy="144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6212840" cy="14414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-1200150</wp:posOffset>
            </wp:positionV>
            <wp:extent cx="6212840" cy="255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212840" cy="25590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-807720</wp:posOffset>
            </wp:positionV>
            <wp:extent cx="6212840" cy="152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6212840" cy="15240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-511175</wp:posOffset>
            </wp:positionV>
            <wp:extent cx="6212840" cy="255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6212840"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Relationship with the Group</w:t>
      </w:r>
    </w:p>
    <w:p>
      <w:pPr>
        <w:spacing w:after="0" w:line="46" w:lineRule="exact"/>
        <w:rPr>
          <w:sz w:val="20"/>
          <w:szCs w:val="20"/>
          <w:color w:val="auto"/>
        </w:rPr>
      </w:pPr>
    </w:p>
    <w:p>
      <w:pPr>
        <w:sectPr>
          <w:pgSz w:w="11900" w:h="16838" w:orient="portrait"/>
          <w:cols w:equalWidth="0" w:num="2">
            <w:col w:w="4920" w:space="380"/>
            <w:col w:w="5940"/>
          </w:cols>
          <w:pgMar w:left="320" w:top="224" w:right="339" w:bottom="1440" w:gutter="0" w:footer="0" w:header="0"/>
          <w:type w:val="continuous"/>
        </w:sectPr>
      </w:pPr>
    </w:p>
    <w:tbl>
      <w:tblPr>
        <w:tblLayout w:type="fixed"/>
        <w:tblInd w:w="600" w:type="dxa"/>
        <w:tblCellMar>
          <w:top w:w="0" w:type="dxa"/>
          <w:left w:w="0" w:type="dxa"/>
          <w:bottom w:w="0" w:type="dxa"/>
          <w:right w:w="0" w:type="dxa"/>
        </w:tblCellMar>
      </w:tblPr>
      <w:tr>
        <w:trPr>
          <w:trHeight w:val="20"/>
        </w:trPr>
        <w:tc>
          <w:tcPr>
            <w:tcW w:w="4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175"/>
        </w:trPr>
        <w:tc>
          <w:tcPr>
            <w:tcW w:w="42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Mr. Xiaoping Chen</w:t>
            </w:r>
          </w:p>
        </w:tc>
        <w:tc>
          <w:tcPr>
            <w:tcW w:w="5560" w:type="dxa"/>
            <w:vAlign w:val="bottom"/>
            <w:gridSpan w:val="2"/>
            <w:shd w:val="clear" w:color="auto" w:fill="CCEEFF"/>
          </w:tcPr>
          <w:p>
            <w:pPr>
              <w:ind w:left="200"/>
              <w:spacing w:after="0" w:line="175" w:lineRule="exact"/>
              <w:rPr>
                <w:sz w:val="20"/>
                <w:szCs w:val="20"/>
                <w:color w:val="auto"/>
              </w:rPr>
            </w:pPr>
            <w:r>
              <w:rPr>
                <w:rFonts w:ascii="Times New Roman" w:cs="Times New Roman" w:eastAsia="Times New Roman" w:hAnsi="Times New Roman"/>
                <w:sz w:val="17"/>
                <w:szCs w:val="17"/>
                <w:color w:val="auto"/>
              </w:rPr>
              <w:t>Founder</w:t>
            </w: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Foshan Viomi and its subsidiaries (“Foshan Viomi”)*</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Controlled by a principal shareholder of the Company</w:t>
            </w:r>
          </w:p>
        </w:tc>
      </w:tr>
      <w:tr>
        <w:trPr>
          <w:trHeight w:val="20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Xiaomi</w:t>
            </w:r>
          </w:p>
        </w:tc>
        <w:tc>
          <w:tcPr>
            <w:tcW w:w="5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Shareholder of the Group</w:t>
            </w:r>
          </w:p>
        </w:tc>
      </w:tr>
    </w:tbl>
    <w:p>
      <w:pPr>
        <w:spacing w:after="0" w:line="185" w:lineRule="exact"/>
        <w:rPr>
          <w:sz w:val="20"/>
          <w:szCs w:val="20"/>
          <w:color w:val="auto"/>
        </w:rPr>
      </w:pPr>
    </w:p>
    <w:p>
      <w:pPr>
        <w:jc w:val="both"/>
        <w:ind w:left="260" w:hanging="83"/>
        <w:spacing w:after="0" w:line="261" w:lineRule="auto"/>
        <w:rPr>
          <w:sz w:val="20"/>
          <w:szCs w:val="20"/>
          <w:color w:val="auto"/>
        </w:rPr>
      </w:pPr>
      <w:r>
        <w:rPr>
          <w:rFonts w:ascii="Times New Roman" w:cs="Times New Roman" w:eastAsia="Times New Roman" w:hAnsi="Times New Roman"/>
          <w:sz w:val="17"/>
          <w:szCs w:val="17"/>
          <w:color w:val="auto"/>
        </w:rPr>
        <w:t>*Due to the Disposal as mentioned above (See Note 1), the existing VIE contractual arrangements between Yunmi Hulian and Foshan Viom was terminated on July 19, 2024, which resulted in Foshan Viomi’s shareholder, Mr. Chen, fully controlling Foshan Viomi and its subsidiaries. As a result, Foshan Viomi and its subsidiaries became to the Group’s related parties since August 31, 2024.</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The Group’s relationship with Xiaomi</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Xiaomi is the Group’s strategic partner and shareholder.</w:t>
      </w:r>
    </w:p>
    <w:p>
      <w:pPr>
        <w:spacing w:after="0" w:line="208"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Group’s sales to Xiaomi are governed by a business cooperation agreement, pursuant to which Xiaomi is responsible for the distribution and sales of such products through their network and sales channels.</w:t>
      </w:r>
    </w:p>
    <w:p>
      <w:pPr>
        <w:spacing w:after="0" w:line="159"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Group also sells products through Xiaomi’s online e-commerce channel Xiaomiyoupin.com, and is charged of commissions pursuant to a commission sales agreement.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Transaction with Xiaomi</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cooperation agreement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current business corporation agreement entered into in 2024 with Xiaomi governs all the Group’s sales to Xiaomi. It will expire in September 2026.</w:t>
      </w:r>
    </w:p>
    <w:p>
      <w:pPr>
        <w:spacing w:after="0" w:line="208"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Under the business cooperation agreement, (i) certain products sold to Xiaomi are exclusively designed for and can only be sold to Xiaomi, (ii) Xiaomi shall purchase these products at a price that covers all of the Group’s costs of raw materials, outsourcing manufacture, models, logistics and paid intellectual property licensing fees, in connection with the manufacture and delivery of these products, and (iii) Xiaomi and the Group shall share gross profits, derived from sales of these products, the retail prices of which were set by Xiaomi and the Group together.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right="6940" w:hanging="599"/>
        <w:spacing w:after="0" w:line="497" w:lineRule="auto"/>
        <w:tabs>
          <w:tab w:leader="none" w:pos="600" w:val="left"/>
        </w:tabs>
        <w:numPr>
          <w:ilvl w:val="0"/>
          <w:numId w:val="1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(Continued) Youpin commission sales agreement</w:t>
      </w:r>
    </w:p>
    <w:p>
      <w:pPr>
        <w:spacing w:after="0" w:line="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has entered into a commission sales agreement with Xiaomi for the sale of the Group’s own branded products on an E-platform operated by Xiaomi, namely Youpin. The commission sales agreement expired on December 31, 2023. The agreement has been renewed in 2024 and it has become non-fixed-term agreement since then. Furthermore, this agreement may be terminated by Xiaomi with 30 days’ written notice.</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Under the commission sales agreement, the Group shall pay a service fee, calculated as certain portion of the sales price excluding customers’ refunds or as otherwise agreed by the parties with respect to specific product lines, as well as a deposit to Xiaomi. The retail prices of the Group’s products on Youpin’s platform shall be no higher than the sales price from any other e-commerce merchants or the Group’s official offline sales channel, including in the event of sales or promotion.</w:t>
      </w:r>
    </w:p>
    <w:p>
      <w:pPr>
        <w:spacing w:after="0" w:line="17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Transaction with Mr. Xiaoping Chen</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19, 2024, to implement its focus strategy for the Home water solution businesses, the Group entered into definitive agreement with Mr. Xiaoping Chen and Zhuhai Yungui Enterprise Management Consulting Limited Partnership, an entity controlled by Mr. Chen (“Zhuhai Yungui”) (together with Mr. Xiaoping Chen, “Buyer”), to divest the Company’s business involving Internet-of-things-enabled (“IoT-enabled”) smart home portfolio products for a total consideration of RMB65 million in cash. The transaction was closed on August 31, 2024.</w:t>
      </w:r>
    </w:p>
    <w:p>
      <w:pPr>
        <w:spacing w:after="0" w:line="170"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Transactions with Foshan Viomi</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sells water purifiers and other products to and purchases raw materials from Foshan Viomi. In addition, The Group leases its office premises to Foshan Viomi, and the Group also engages Foshan Viomi for other services such as transportation services, maintenance services as well as installation services etc.</w:t>
      </w:r>
    </w:p>
    <w:p>
      <w:pPr>
        <w:sectPr>
          <w:pgSz w:w="11900" w:h="16838" w:orient="portrait"/>
          <w:cols w:equalWidth="0" w:num="1">
            <w:col w:w="11240"/>
          </w:cols>
          <w:pgMar w:left="320" w:top="224" w:right="339" w:bottom="1440" w:gutter="0" w:footer="0" w:header="0"/>
        </w:sectPr>
      </w:pPr>
    </w:p>
    <w:p>
      <w:pPr>
        <w:spacing w:after="0" w:line="165" w:lineRule="exact"/>
        <w:rPr>
          <w:sz w:val="20"/>
          <w:szCs w:val="20"/>
          <w:color w:val="auto"/>
        </w:rPr>
      </w:pPr>
    </w:p>
    <w:p>
      <w:pPr>
        <w:ind w:left="600" w:hanging="599"/>
        <w:spacing w:after="0"/>
        <w:tabs>
          <w:tab w:leader="none" w:pos="600" w:val="left"/>
        </w:tabs>
        <w:numPr>
          <w:ilvl w:val="0"/>
          <w:numId w:val="17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Amount due from/to related parties</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63" w:lineRule="exact"/>
        <w:rPr>
          <w:rFonts w:ascii="Times New Roman" w:cs="Times New Roman" w:eastAsia="Times New Roman" w:hAnsi="Times New Roman"/>
          <w:sz w:val="17"/>
          <w:szCs w:val="17"/>
          <w:i w:val="1"/>
          <w:iCs w:val="1"/>
          <w:color w:val="auto"/>
        </w:rPr>
      </w:pPr>
    </w:p>
    <w:p>
      <w:pPr>
        <w:ind w:left="600" w:right="1020"/>
        <w:spacing w:after="0" w:line="232"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 xml:space="preserve">Accounts receivable from related parties: </w:t>
      </w:r>
      <w:r>
        <w:rPr>
          <w:rFonts w:ascii="Times New Roman" w:cs="Times New Roman" w:eastAsia="Times New Roman" w:hAnsi="Times New Roman"/>
          <w:sz w:val="17"/>
          <w:szCs w:val="17"/>
          <w:color w:val="auto"/>
        </w:rPr>
        <w:t>Xiaomi</w:t>
      </w:r>
      <w:r>
        <w:rPr>
          <w:rFonts w:ascii="Times New Roman" w:cs="Times New Roman" w:eastAsia="Times New Roman" w:hAnsi="Times New Roman"/>
          <w:sz w:val="28"/>
          <w:szCs w:val="28"/>
          <w:color w:val="auto"/>
          <w:vertAlign w:val="superscript"/>
        </w:rPr>
        <w:t>(a)</w:t>
      </w:r>
    </w:p>
    <w:p>
      <w:pPr>
        <w:ind w:left="600"/>
        <w:spacing w:after="0" w:line="186"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5"/>
          <w:szCs w:val="15"/>
          <w:color w:val="auto"/>
        </w:rPr>
        <w:t xml:space="preserve">Foshan Viomi </w:t>
      </w:r>
      <w:r>
        <w:rPr>
          <w:rFonts w:ascii="Times New Roman" w:cs="Times New Roman" w:eastAsia="Times New Roman" w:hAnsi="Times New Roman"/>
          <w:sz w:val="24"/>
          <w:szCs w:val="24"/>
          <w:color w:val="auto"/>
          <w:vertAlign w:val="superscript"/>
        </w:rPr>
        <w:t>(c)</w:t>
      </w: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Total</w:t>
      </w:r>
    </w:p>
    <w:p>
      <w:pPr>
        <w:spacing w:after="0" w:line="249" w:lineRule="exact"/>
        <w:rPr>
          <w:rFonts w:ascii="Times New Roman" w:cs="Times New Roman" w:eastAsia="Times New Roman" w:hAnsi="Times New Roman"/>
          <w:sz w:val="17"/>
          <w:szCs w:val="17"/>
          <w:i w:val="1"/>
          <w:iCs w:val="1"/>
          <w:color w:val="auto"/>
        </w:rPr>
      </w:pPr>
    </w:p>
    <w:p>
      <w:pPr>
        <w:ind w:left="600" w:right="1180"/>
        <w:spacing w:after="0" w:line="259"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 xml:space="preserve">Other receivables from related parties: </w:t>
      </w:r>
      <w:r>
        <w:rPr>
          <w:rFonts w:ascii="Times New Roman" w:cs="Times New Roman" w:eastAsia="Times New Roman" w:hAnsi="Times New Roman"/>
          <w:sz w:val="17"/>
          <w:szCs w:val="17"/>
          <w:color w:val="auto"/>
        </w:rPr>
        <w:t>Other receivables from Xiaomi</w:t>
      </w:r>
    </w:p>
    <w:p>
      <w:pPr>
        <w:spacing w:after="0" w:line="1"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Other receivables from Foshan Viomi</w:t>
      </w:r>
    </w:p>
    <w:p>
      <w:pPr>
        <w:spacing w:after="0" w:line="6"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Total</w:t>
      </w:r>
    </w:p>
    <w:p>
      <w:pPr>
        <w:spacing w:after="0" w:line="263" w:lineRule="exact"/>
        <w:rPr>
          <w:rFonts w:ascii="Times New Roman" w:cs="Times New Roman" w:eastAsia="Times New Roman" w:hAnsi="Times New Roman"/>
          <w:sz w:val="17"/>
          <w:szCs w:val="17"/>
          <w:i w:val="1"/>
          <w:iCs w:val="1"/>
          <w:color w:val="auto"/>
        </w:rPr>
      </w:pPr>
    </w:p>
    <w:p>
      <w:pPr>
        <w:ind w:left="600" w:right="1260"/>
        <w:spacing w:after="0" w:line="23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6"/>
          <w:szCs w:val="16"/>
          <w:b w:val="1"/>
          <w:bCs w:val="1"/>
          <w:color w:val="auto"/>
        </w:rPr>
        <w:t xml:space="preserve">Amounts due to related parties: </w:t>
      </w:r>
      <w:r>
        <w:rPr>
          <w:rFonts w:ascii="Times New Roman" w:cs="Times New Roman" w:eastAsia="Times New Roman" w:hAnsi="Times New Roman"/>
          <w:sz w:val="16"/>
          <w:szCs w:val="16"/>
          <w:color w:val="auto"/>
        </w:rPr>
        <w:t>Purchase and other payable to Xiaomi</w:t>
      </w:r>
      <w:r>
        <w:rPr>
          <w:rFonts w:ascii="Times New Roman" w:cs="Times New Roman" w:eastAsia="Times New Roman" w:hAnsi="Times New Roman"/>
          <w:sz w:val="27"/>
          <w:szCs w:val="27"/>
          <w:color w:val="auto"/>
          <w:vertAlign w:val="superscript"/>
        </w:rPr>
        <w:t>(a)</w:t>
      </w:r>
    </w:p>
    <w:p>
      <w:pPr>
        <w:spacing w:after="0" w:line="2"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Total</w:t>
      </w:r>
    </w:p>
    <w:p>
      <w:pPr>
        <w:spacing w:after="0" w:line="249" w:lineRule="exact"/>
        <w:rPr>
          <w:rFonts w:ascii="Times New Roman" w:cs="Times New Roman" w:eastAsia="Times New Roman" w:hAnsi="Times New Roman"/>
          <w:sz w:val="17"/>
          <w:szCs w:val="17"/>
          <w:i w:val="1"/>
          <w:iCs w:val="1"/>
          <w:color w:val="auto"/>
        </w:rPr>
      </w:pPr>
    </w:p>
    <w:p>
      <w:pPr>
        <w:ind w:left="600" w:hanging="599"/>
        <w:spacing w:after="0"/>
        <w:tabs>
          <w:tab w:leader="none" w:pos="600" w:val="left"/>
        </w:tabs>
        <w:numPr>
          <w:ilvl w:val="0"/>
          <w:numId w:val="17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Purchase from related parties</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69" w:lineRule="exact"/>
        <w:rPr>
          <w:rFonts w:ascii="Times New Roman" w:cs="Times New Roman" w:eastAsia="Times New Roman" w:hAnsi="Times New Roman"/>
          <w:sz w:val="17"/>
          <w:szCs w:val="17"/>
          <w:i w:val="1"/>
          <w:iCs w:val="1"/>
          <w:color w:val="auto"/>
        </w:rPr>
      </w:pPr>
    </w:p>
    <w:p>
      <w:pPr>
        <w:ind w:left="600" w:right="2880"/>
        <w:spacing w:after="0" w:line="212"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5"/>
          <w:szCs w:val="15"/>
          <w:color w:val="auto"/>
        </w:rPr>
        <w:t>Foshan Viomi</w:t>
      </w:r>
      <w:r>
        <w:rPr>
          <w:rFonts w:ascii="Times New Roman" w:cs="Times New Roman" w:eastAsia="Times New Roman" w:hAnsi="Times New Roman"/>
          <w:sz w:val="25"/>
          <w:szCs w:val="25"/>
          <w:color w:val="auto"/>
          <w:vertAlign w:val="superscript"/>
        </w:rPr>
        <w:t>(c)</w:t>
      </w:r>
      <w:r>
        <w:rPr>
          <w:rFonts w:ascii="Times New Roman" w:cs="Times New Roman" w:eastAsia="Times New Roman" w:hAnsi="Times New Roman"/>
          <w:sz w:val="15"/>
          <w:szCs w:val="15"/>
          <w:color w:val="auto"/>
        </w:rPr>
        <w:t xml:space="preserve"> Xiaomi</w:t>
      </w:r>
      <w:r>
        <w:rPr>
          <w:rFonts w:ascii="Times New Roman" w:cs="Times New Roman" w:eastAsia="Times New Roman" w:hAnsi="Times New Roman"/>
          <w:sz w:val="25"/>
          <w:szCs w:val="25"/>
          <w:color w:val="auto"/>
          <w:vertAlign w:val="superscript"/>
        </w:rPr>
        <w:t>(a)</w:t>
      </w: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r>
      <w:tr>
        <w:trPr>
          <w:trHeight w:val="214"/>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RMB</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8"/>
                <w:szCs w:val="18"/>
                <w:color w:val="auto"/>
              </w:rPr>
            </w:pPr>
          </w:p>
        </w:tc>
      </w:tr>
      <w:tr>
        <w:trPr>
          <w:trHeight w:val="421"/>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591,221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304,078</w:t>
            </w:r>
          </w:p>
        </w:tc>
        <w:tc>
          <w:tcPr>
            <w:tcW w:w="20" w:type="dxa"/>
            <w:vAlign w:val="bottom"/>
          </w:tcPr>
          <w:p>
            <w:pPr>
              <w:spacing w:after="0"/>
              <w:rPr>
                <w:sz w:val="24"/>
                <w:szCs w:val="24"/>
                <w:color w:val="auto"/>
              </w:rPr>
            </w:pPr>
          </w:p>
        </w:tc>
      </w:tr>
      <w:tr>
        <w:trPr>
          <w:trHeight w:val="252"/>
        </w:trPr>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36,095</w:t>
            </w:r>
          </w:p>
        </w:tc>
      </w:tr>
      <w:tr>
        <w:trPr>
          <w:trHeight w:val="207"/>
        </w:trPr>
        <w:tc>
          <w:tcPr>
            <w:tcW w:w="1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591,221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340,173</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9"/>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Pr>
          <w:p>
            <w:pPr>
              <w:spacing w:after="0"/>
              <w:rPr>
                <w:sz w:val="24"/>
                <w:szCs w:val="24"/>
                <w:color w:val="auto"/>
              </w:rPr>
            </w:pPr>
          </w:p>
        </w:tc>
      </w:tr>
      <w:tr>
        <w:trPr>
          <w:trHeight w:val="218"/>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11,134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207"/>
        </w:trPr>
        <w:tc>
          <w:tcPr>
            <w:tcW w:w="1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11,234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20" w:type="dxa"/>
            <w:vAlign w:val="bottom"/>
          </w:tcPr>
          <w:p>
            <w:pPr>
              <w:spacing w:after="0"/>
              <w:rPr>
                <w:sz w:val="24"/>
                <w:szCs w:val="24"/>
                <w:color w:val="auto"/>
              </w:rPr>
            </w:pPr>
          </w:p>
        </w:tc>
      </w:tr>
      <w:tr>
        <w:trPr>
          <w:trHeight w:val="207"/>
        </w:trPr>
        <w:tc>
          <w:tcPr>
            <w:tcW w:w="1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596</w:t>
            </w:r>
          </w:p>
        </w:tc>
        <w:tc>
          <w:tcPr>
            <w:tcW w:w="20" w:type="dxa"/>
            <w:vAlign w:val="bottom"/>
            <w:tcBorders>
              <w:top w:val="single" w:sz="8" w:color="auto"/>
            </w:tcBorders>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7"/>
        </w:trPr>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1380" w:type="dxa"/>
            <w:vAlign w:val="bottom"/>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center"/>
              <w:ind w:left="3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r>
      <w:tr>
        <w:trPr>
          <w:trHeight w:val="214"/>
        </w:trPr>
        <w:tc>
          <w:tcPr>
            <w:tcW w:w="14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RMB</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gridSpan w:val="2"/>
          </w:tcPr>
          <w:p>
            <w:pPr>
              <w:spacing w:after="0"/>
              <w:rPr>
                <w:sz w:val="18"/>
                <w:szCs w:val="18"/>
                <w:color w:val="auto"/>
              </w:rPr>
            </w:pPr>
          </w:p>
        </w:tc>
        <w:tc>
          <w:tcPr>
            <w:tcW w:w="144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8"/>
                <w:szCs w:val="18"/>
                <w:color w:val="auto"/>
              </w:rPr>
            </w:pPr>
          </w:p>
        </w:tc>
      </w:tr>
      <w:tr>
        <w:trPr>
          <w:trHeight w:val="219"/>
        </w:trPr>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17,144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9,763</w:t>
            </w:r>
          </w:p>
        </w:tc>
        <w:tc>
          <w:tcPr>
            <w:tcW w:w="20" w:type="dxa"/>
            <w:vAlign w:val="bottom"/>
          </w:tcPr>
          <w:p>
            <w:pPr>
              <w:spacing w:after="0"/>
              <w:rPr>
                <w:sz w:val="19"/>
                <w:szCs w:val="19"/>
                <w:color w:val="auto"/>
              </w:rPr>
            </w:pPr>
          </w:p>
        </w:tc>
      </w:tr>
      <w:tr>
        <w:trPr>
          <w:trHeight w:val="252"/>
        </w:trPr>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26,341</w:t>
            </w:r>
          </w:p>
        </w:tc>
        <w:tc>
          <w:tcPr>
            <w:tcW w:w="180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13,546</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r>
      <w:tr>
        <w:trPr>
          <w:trHeight w:val="207"/>
        </w:trPr>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26,341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30,690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9,763</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-3161665</wp:posOffset>
            </wp:positionV>
            <wp:extent cx="6212840" cy="128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-2881630</wp:posOffset>
            </wp:positionV>
            <wp:extent cx="6212840" cy="160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6212840" cy="16002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-2569210</wp:posOffset>
            </wp:positionV>
            <wp:extent cx="6212840" cy="144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6212840" cy="14414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-2296795</wp:posOffset>
            </wp:positionV>
            <wp:extent cx="6212840"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-2032635</wp:posOffset>
            </wp:positionV>
            <wp:extent cx="6212840" cy="152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212840" cy="15240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-1736725</wp:posOffset>
            </wp:positionV>
            <wp:extent cx="6212840" cy="128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6212840" cy="12827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-1448435</wp:posOffset>
            </wp:positionV>
            <wp:extent cx="6212840" cy="152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212840" cy="15240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-479425</wp:posOffset>
            </wp:positionV>
            <wp:extent cx="6212840" cy="152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6212840" cy="15240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-167640</wp:posOffset>
            </wp:positionV>
            <wp:extent cx="6212840" cy="152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6212840" cy="15240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14605</wp:posOffset>
            </wp:positionV>
            <wp:extent cx="71412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2">
            <w:col w:w="4580" w:space="720"/>
            <w:col w:w="5940"/>
          </w:cols>
          <w:pgMar w:left="320" w:top="224" w:right="3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(Continued)</w:t>
      </w:r>
    </w:p>
    <w:p>
      <w:pPr>
        <w:spacing w:after="0" w:line="208" w:lineRule="exact"/>
        <w:rPr>
          <w:sz w:val="20"/>
          <w:szCs w:val="20"/>
          <w:color w:val="auto"/>
        </w:rPr>
      </w:pPr>
    </w:p>
    <w:p>
      <w:pPr>
        <w:ind w:left="600" w:hanging="599"/>
        <w:spacing w:after="0"/>
        <w:tabs>
          <w:tab w:leader="none" w:pos="600" w:val="left"/>
        </w:tabs>
        <w:numPr>
          <w:ilvl w:val="0"/>
          <w:numId w:val="17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Revenue from related parties</w:t>
      </w: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47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4700" w:type="dxa"/>
            <w:vAlign w:val="bottom"/>
          </w:tcPr>
          <w:p>
            <w:pPr>
              <w:spacing w:after="0"/>
              <w:rPr>
                <w:sz w:val="18"/>
                <w:szCs w:val="18"/>
                <w:color w:val="auto"/>
              </w:rPr>
            </w:pPr>
          </w:p>
        </w:tc>
        <w:tc>
          <w:tcPr>
            <w:tcW w:w="148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8"/>
                <w:szCs w:val="18"/>
                <w:color w:val="auto"/>
              </w:rPr>
            </w:pPr>
          </w:p>
        </w:tc>
        <w:tc>
          <w:tcPr>
            <w:tcW w:w="1720" w:type="dxa"/>
            <w:vAlign w:val="bottom"/>
            <w:gridSpan w:val="2"/>
          </w:tcPr>
          <w:p>
            <w:pPr>
              <w:jc w:val="center"/>
              <w:ind w:left="1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Pr>
          <w:p>
            <w:pPr>
              <w:spacing w:after="0"/>
              <w:rPr>
                <w:sz w:val="18"/>
                <w:szCs w:val="18"/>
                <w:color w:val="auto"/>
              </w:rPr>
            </w:pPr>
          </w:p>
        </w:tc>
        <w:tc>
          <w:tcPr>
            <w:tcW w:w="144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4700" w:type="dxa"/>
            <w:vAlign w:val="bottom"/>
          </w:tcPr>
          <w:p>
            <w:pPr>
              <w:spacing w:after="0"/>
              <w:rPr>
                <w:sz w:val="16"/>
                <w:szCs w:val="16"/>
                <w:color w:val="auto"/>
              </w:rPr>
            </w:pPr>
          </w:p>
        </w:tc>
        <w:tc>
          <w:tcPr>
            <w:tcW w:w="1480" w:type="dxa"/>
            <w:vAlign w:val="bottom"/>
            <w:tcBorders>
              <w:top w:val="single" w:sz="8" w:color="auto"/>
            </w:tcBorders>
          </w:tcPr>
          <w:p>
            <w:pPr>
              <w:jc w:val="right"/>
              <w:ind w:right="45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6"/>
                <w:szCs w:val="16"/>
                <w:color w:val="auto"/>
              </w:rPr>
            </w:pPr>
          </w:p>
        </w:tc>
        <w:tc>
          <w:tcPr>
            <w:tcW w:w="1440" w:type="dxa"/>
            <w:vAlign w:val="bottom"/>
            <w:tcBorders>
              <w:top w:val="single" w:sz="8" w:color="auto"/>
            </w:tcBorders>
          </w:tcPr>
          <w:p>
            <w:pPr>
              <w:jc w:val="right"/>
              <w:ind w:right="436"/>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40"/>
        </w:trPr>
        <w:tc>
          <w:tcPr>
            <w:tcW w:w="470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Xiaomi</w:t>
            </w:r>
            <w:r>
              <w:rPr>
                <w:rFonts w:ascii="Times New Roman" w:cs="Times New Roman" w:eastAsia="Times New Roman" w:hAnsi="Times New Roman"/>
                <w:sz w:val="27"/>
                <w:szCs w:val="27"/>
                <w:color w:val="auto"/>
                <w:vertAlign w:val="superscript"/>
              </w:rPr>
              <w:t>(a)</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1,292,880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1,752,246</w:t>
            </w: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2,174,895</w:t>
            </w:r>
          </w:p>
        </w:tc>
      </w:tr>
      <w:tr>
        <w:trPr>
          <w:trHeight w:val="252"/>
        </w:trPr>
        <w:tc>
          <w:tcPr>
            <w:tcW w:w="4700" w:type="dxa"/>
            <w:vAlign w:val="bottom"/>
          </w:tcPr>
          <w:p>
            <w:pPr>
              <w:spacing w:after="0" w:line="251" w:lineRule="exact"/>
              <w:rPr>
                <w:sz w:val="20"/>
                <w:szCs w:val="20"/>
                <w:color w:val="auto"/>
              </w:rPr>
            </w:pPr>
            <w:r>
              <w:rPr>
                <w:rFonts w:ascii="Times New Roman" w:cs="Times New Roman" w:eastAsia="Times New Roman" w:hAnsi="Times New Roman"/>
                <w:sz w:val="17"/>
                <w:szCs w:val="17"/>
                <w:color w:val="auto"/>
              </w:rPr>
              <w:t>Foshan Viomi</w:t>
            </w:r>
            <w:r>
              <w:rPr>
                <w:rFonts w:ascii="Times New Roman" w:cs="Times New Roman" w:eastAsia="Times New Roman" w:hAnsi="Times New Roman"/>
                <w:sz w:val="28"/>
                <w:szCs w:val="28"/>
                <w:color w:val="auto"/>
                <w:vertAlign w:val="superscript"/>
              </w:rPr>
              <w:t>(c)</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66,852</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39,894</w:t>
            </w:r>
          </w:p>
        </w:tc>
      </w:tr>
      <w:tr>
        <w:trPr>
          <w:trHeight w:val="207"/>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1,292,880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1,819,098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2,214,789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0" w:hanging="599"/>
        <w:spacing w:after="0"/>
        <w:tabs>
          <w:tab w:leader="none" w:pos="600" w:val="left"/>
        </w:tabs>
        <w:numPr>
          <w:ilvl w:val="0"/>
          <w:numId w:val="17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Research and development expenses</w:t>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Xiaomi</w:t>
      </w:r>
      <w:r>
        <w:rPr>
          <w:rFonts w:ascii="Times New Roman" w:cs="Times New Roman" w:eastAsia="Times New Roman" w:hAnsi="Times New Roman"/>
          <w:sz w:val="28"/>
          <w:szCs w:val="28"/>
          <w:color w:val="auto"/>
          <w:vertAlign w:val="superscript"/>
        </w:rPr>
        <w:t>(a)</w:t>
      </w:r>
    </w:p>
    <w:p>
      <w:pPr>
        <w:spacing w:after="0" w:line="114" w:lineRule="exact"/>
        <w:rPr>
          <w:sz w:val="20"/>
          <w:szCs w:val="20"/>
          <w:color w:val="auto"/>
        </w:rPr>
      </w:pPr>
    </w:p>
    <w:p>
      <w:pPr>
        <w:ind w:left="600" w:hanging="599"/>
        <w:spacing w:after="0"/>
        <w:tabs>
          <w:tab w:leader="none" w:pos="600" w:val="left"/>
        </w:tabs>
        <w:numPr>
          <w:ilvl w:val="0"/>
          <w:numId w:val="1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Selling and marketing expenses</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69" w:lineRule="exact"/>
        <w:rPr>
          <w:rFonts w:ascii="Times New Roman" w:cs="Times New Roman" w:eastAsia="Times New Roman" w:hAnsi="Times New Roman"/>
          <w:sz w:val="17"/>
          <w:szCs w:val="17"/>
          <w:i w:val="1"/>
          <w:iCs w:val="1"/>
          <w:color w:val="auto"/>
        </w:rPr>
      </w:pPr>
    </w:p>
    <w:p>
      <w:pPr>
        <w:ind w:left="600" w:right="940"/>
        <w:spacing w:after="0" w:line="192"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6"/>
          <w:szCs w:val="16"/>
          <w:color w:val="auto"/>
        </w:rPr>
        <w:t>Other expenses charged by Foshan Viomi</w:t>
      </w:r>
      <w:r>
        <w:rPr>
          <w:rFonts w:ascii="Times New Roman" w:cs="Times New Roman" w:eastAsia="Times New Roman" w:hAnsi="Times New Roman"/>
          <w:sz w:val="27"/>
          <w:szCs w:val="27"/>
          <w:color w:val="auto"/>
          <w:vertAlign w:val="superscript"/>
        </w:rPr>
        <w:t>(d)</w:t>
      </w:r>
      <w:r>
        <w:rPr>
          <w:rFonts w:ascii="Times New Roman" w:cs="Times New Roman" w:eastAsia="Times New Roman" w:hAnsi="Times New Roman"/>
          <w:sz w:val="16"/>
          <w:szCs w:val="16"/>
          <w:color w:val="auto"/>
        </w:rPr>
        <w:t xml:space="preserve"> Commission expenses charged by Xiaomi </w:t>
      </w:r>
      <w:r>
        <w:rPr>
          <w:rFonts w:ascii="Times New Roman" w:cs="Times New Roman" w:eastAsia="Times New Roman" w:hAnsi="Times New Roman"/>
          <w:sz w:val="27"/>
          <w:szCs w:val="27"/>
          <w:color w:val="auto"/>
          <w:vertAlign w:val="superscript"/>
        </w:rPr>
        <w:t>(b)</w:t>
      </w:r>
      <w:r>
        <w:rPr>
          <w:rFonts w:ascii="Times New Roman" w:cs="Times New Roman" w:eastAsia="Times New Roman" w:hAnsi="Times New Roman"/>
          <w:sz w:val="16"/>
          <w:szCs w:val="16"/>
          <w:color w:val="auto"/>
        </w:rPr>
        <w:t xml:space="preserve"> Other expenses charged by Xiaomi</w:t>
      </w:r>
      <w:r>
        <w:rPr>
          <w:rFonts w:ascii="Times New Roman" w:cs="Times New Roman" w:eastAsia="Times New Roman" w:hAnsi="Times New Roman"/>
          <w:sz w:val="27"/>
          <w:szCs w:val="27"/>
          <w:color w:val="auto"/>
          <w:vertAlign w:val="superscript"/>
        </w:rPr>
        <w:t>(b)</w:t>
      </w:r>
    </w:p>
    <w:p>
      <w:pPr>
        <w:spacing w:after="0" w:line="2" w:lineRule="exact"/>
        <w:rPr>
          <w:rFonts w:ascii="Times New Roman" w:cs="Times New Roman" w:eastAsia="Times New Roman" w:hAnsi="Times New Roman"/>
          <w:sz w:val="17"/>
          <w:szCs w:val="17"/>
          <w:i w:val="1"/>
          <w:iCs w:val="1"/>
          <w:color w:val="auto"/>
        </w:rPr>
      </w:pP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Total</w:t>
      </w:r>
    </w:p>
    <w:p>
      <w:pPr>
        <w:spacing w:after="0" w:line="249" w:lineRule="exact"/>
        <w:rPr>
          <w:rFonts w:ascii="Times New Roman" w:cs="Times New Roman" w:eastAsia="Times New Roman" w:hAnsi="Times New Roman"/>
          <w:sz w:val="17"/>
          <w:szCs w:val="17"/>
          <w:i w:val="1"/>
          <w:iCs w:val="1"/>
          <w:color w:val="auto"/>
        </w:rPr>
      </w:pPr>
    </w:p>
    <w:p>
      <w:pPr>
        <w:ind w:left="600" w:hanging="599"/>
        <w:spacing w:after="0"/>
        <w:tabs>
          <w:tab w:leader="none" w:pos="600" w:val="left"/>
        </w:tabs>
        <w:numPr>
          <w:ilvl w:val="0"/>
          <w:numId w:val="18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income and expenses</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69" w:lineRule="exact"/>
        <w:rPr>
          <w:rFonts w:ascii="Times New Roman" w:cs="Times New Roman" w:eastAsia="Times New Roman" w:hAnsi="Times New Roman"/>
          <w:sz w:val="17"/>
          <w:szCs w:val="17"/>
          <w:i w:val="1"/>
          <w:iCs w:val="1"/>
          <w:color w:val="auto"/>
        </w:rPr>
      </w:pPr>
    </w:p>
    <w:p>
      <w:pPr>
        <w:jc w:val="both"/>
        <w:ind w:left="600" w:right="2740"/>
        <w:spacing w:after="0" w:line="196"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6"/>
          <w:szCs w:val="16"/>
          <w:color w:val="auto"/>
        </w:rPr>
        <w:t>Interest income</w:t>
      </w:r>
      <w:r>
        <w:rPr>
          <w:rFonts w:ascii="Times New Roman" w:cs="Times New Roman" w:eastAsia="Times New Roman" w:hAnsi="Times New Roman"/>
          <w:sz w:val="27"/>
          <w:szCs w:val="27"/>
          <w:color w:val="auto"/>
          <w:vertAlign w:val="superscript"/>
        </w:rPr>
        <w:t>(e)</w:t>
      </w:r>
      <w:r>
        <w:rPr>
          <w:rFonts w:ascii="Times New Roman" w:cs="Times New Roman" w:eastAsia="Times New Roman" w:hAnsi="Times New Roman"/>
          <w:sz w:val="16"/>
          <w:szCs w:val="16"/>
          <w:color w:val="auto"/>
        </w:rPr>
        <w:t xml:space="preserve"> Interest expense</w:t>
      </w:r>
      <w:r>
        <w:rPr>
          <w:rFonts w:ascii="Times New Roman" w:cs="Times New Roman" w:eastAsia="Times New Roman" w:hAnsi="Times New Roman"/>
          <w:sz w:val="27"/>
          <w:szCs w:val="27"/>
          <w:color w:val="auto"/>
          <w:vertAlign w:val="superscript"/>
        </w:rPr>
        <w:t>(f)</w:t>
      </w:r>
    </w:p>
    <w:p>
      <w:pPr>
        <w:ind w:left="6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center"/>
              <w:ind w:left="1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8"/>
                <w:szCs w:val="18"/>
                <w:color w:val="auto"/>
              </w:rPr>
            </w:pPr>
          </w:p>
        </w:tc>
        <w:tc>
          <w:tcPr>
            <w:tcW w:w="14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716</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273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820"/>
        </w:trPr>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14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8"/>
                <w:szCs w:val="18"/>
                <w:color w:val="auto"/>
              </w:rPr>
            </w:pPr>
          </w:p>
        </w:tc>
        <w:tc>
          <w:tcPr>
            <w:tcW w:w="1720" w:type="dxa"/>
            <w:vAlign w:val="bottom"/>
            <w:gridSpan w:val="2"/>
          </w:tcPr>
          <w:p>
            <w:pPr>
              <w:jc w:val="center"/>
              <w:ind w:left="1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8"/>
                <w:szCs w:val="18"/>
                <w:color w:val="auto"/>
              </w:rPr>
            </w:pPr>
          </w:p>
        </w:tc>
        <w:tc>
          <w:tcPr>
            <w:tcW w:w="14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RMB</w:t>
            </w:r>
          </w:p>
        </w:tc>
        <w:tc>
          <w:tcPr>
            <w:tcW w:w="40" w:type="dxa"/>
            <w:vAlign w:val="bottom"/>
            <w:gridSpan w:val="2"/>
          </w:tcPr>
          <w:p>
            <w:pPr>
              <w:spacing w:after="0"/>
              <w:rPr>
                <w:sz w:val="18"/>
                <w:szCs w:val="18"/>
                <w:color w:val="auto"/>
              </w:rPr>
            </w:pPr>
          </w:p>
        </w:tc>
      </w:tr>
      <w:tr>
        <w:trPr>
          <w:trHeight w:val="219"/>
        </w:trPr>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400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9,861</w:t>
            </w:r>
          </w:p>
        </w:tc>
        <w:tc>
          <w:tcPr>
            <w:tcW w:w="20" w:type="dxa"/>
            <w:vAlign w:val="bottom"/>
          </w:tcPr>
          <w:p>
            <w:pPr>
              <w:spacing w:after="0"/>
              <w:rPr>
                <w:sz w:val="19"/>
                <w:szCs w:val="19"/>
                <w:color w:val="auto"/>
              </w:rPr>
            </w:pPr>
          </w:p>
        </w:tc>
      </w:tr>
      <w:tr>
        <w:trPr>
          <w:trHeight w:val="240"/>
        </w:trPr>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24,511</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20,399</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48,594</w:t>
            </w:r>
          </w:p>
        </w:tc>
      </w:tr>
      <w:tr>
        <w:trPr>
          <w:trHeight w:val="252"/>
        </w:trPr>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r>
      <w:tr>
        <w:trPr>
          <w:trHeight w:val="207"/>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25,308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20,799</w:t>
            </w:r>
          </w:p>
        </w:tc>
        <w:tc>
          <w:tcPr>
            <w:tcW w:w="3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58,455</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7"/>
        </w:trPr>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14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8"/>
                <w:szCs w:val="18"/>
                <w:color w:val="auto"/>
              </w:rPr>
            </w:pPr>
          </w:p>
        </w:tc>
        <w:tc>
          <w:tcPr>
            <w:tcW w:w="1720" w:type="dxa"/>
            <w:vAlign w:val="bottom"/>
            <w:gridSpan w:val="2"/>
          </w:tcPr>
          <w:p>
            <w:pPr>
              <w:jc w:val="center"/>
              <w:ind w:left="17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8"/>
                <w:szCs w:val="18"/>
                <w:color w:val="auto"/>
              </w:rPr>
            </w:pPr>
          </w:p>
        </w:tc>
        <w:tc>
          <w:tcPr>
            <w:tcW w:w="14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RMB</w:t>
            </w:r>
          </w:p>
        </w:tc>
        <w:tc>
          <w:tcPr>
            <w:tcW w:w="40" w:type="dxa"/>
            <w:vAlign w:val="bottom"/>
            <w:gridSpan w:val="2"/>
          </w:tcPr>
          <w:p>
            <w:pPr>
              <w:spacing w:after="0"/>
              <w:rPr>
                <w:sz w:val="18"/>
                <w:szCs w:val="18"/>
                <w:color w:val="auto"/>
              </w:rPr>
            </w:pPr>
          </w:p>
        </w:tc>
      </w:tr>
      <w:tr>
        <w:trPr>
          <w:trHeight w:val="219"/>
        </w:trPr>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1,902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52"/>
        </w:trPr>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485</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r>
      <w:tr>
        <w:trPr>
          <w:trHeight w:val="207"/>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2,387</w:t>
            </w:r>
          </w:p>
        </w:tc>
        <w:tc>
          <w:tcPr>
            <w:tcW w:w="300" w:type="dxa"/>
            <w:vAlign w:val="bottom"/>
          </w:tcPr>
          <w:p>
            <w:pPr>
              <w:spacing w:after="0"/>
              <w:rPr>
                <w:sz w:val="18"/>
                <w:szCs w:val="18"/>
                <w:color w:val="auto"/>
              </w:rPr>
            </w:pP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-2865755</wp:posOffset>
            </wp:positionV>
            <wp:extent cx="6212840" cy="152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6212840" cy="15240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-1912620</wp:posOffset>
            </wp:positionV>
            <wp:extent cx="6212840" cy="152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6212840" cy="15240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-1608455</wp:posOffset>
            </wp:positionV>
            <wp:extent cx="6212840" cy="160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6212840" cy="16002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-479425</wp:posOffset>
            </wp:positionV>
            <wp:extent cx="6212840" cy="152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6212840" cy="15240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-167640</wp:posOffset>
            </wp:positionV>
            <wp:extent cx="6212840" cy="152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621284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580" w:space="720"/>
            <w:col w:w="5940"/>
          </w:cols>
          <w:pgMar w:left="320" w:top="224" w:right="339" w:bottom="1440" w:gutter="0" w:footer="0" w:header="0"/>
          <w:type w:val="continuous"/>
        </w:sectPr>
      </w:pPr>
    </w:p>
    <w:p>
      <w:pPr>
        <w:jc w:val="both"/>
        <w:ind w:left="1220" w:hanging="614"/>
        <w:spacing w:after="0" w:line="261" w:lineRule="auto"/>
        <w:tabs>
          <w:tab w:leader="none" w:pos="12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both sells water purifiers and other products to and purchase Xiaomi branded products and certain raw materials from Xiaomi. The amount due from Xiaomi represents receivable arising from sales of water purifiers and other products. The balance due to Xiaomi represents payable arising from purchase of Xiaomi branded products and certain raw materials.</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sells its own brand products on the E-platform of Xiaomi, which charges the Group commission and technical service fees, also Xiaomi provides advertising and promotion service. The amount due from Xiaomi represents sales receivable net of commission, advertising and promotion service.</w:t>
      </w:r>
    </w:p>
    <w:p>
      <w:pPr>
        <w:spacing w:after="0" w:line="169" w:lineRule="exact"/>
        <w:rPr>
          <w:sz w:val="20"/>
          <w:szCs w:val="20"/>
          <w:color w:val="auto"/>
        </w:rPr>
      </w:pPr>
    </w:p>
    <w:p>
      <w:pPr>
        <w:ind w:left="1220"/>
        <w:spacing w:after="0" w:line="274" w:lineRule="auto"/>
        <w:rPr>
          <w:sz w:val="20"/>
          <w:szCs w:val="20"/>
          <w:color w:val="auto"/>
        </w:rPr>
      </w:pPr>
      <w:r>
        <w:rPr>
          <w:rFonts w:ascii="Times New Roman" w:cs="Times New Roman" w:eastAsia="Times New Roman" w:hAnsi="Times New Roman"/>
          <w:sz w:val="17"/>
          <w:szCs w:val="17"/>
          <w:color w:val="auto"/>
        </w:rPr>
        <w:t>Certain amounts in prior periods have been reclassified to conform with current period presentation. These reclassifications had no impact on the Group’s consolidated financial statements.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(Continued)</w:t>
      </w:r>
    </w:p>
    <w:p>
      <w:pPr>
        <w:spacing w:after="0" w:line="211" w:lineRule="exact"/>
        <w:rPr>
          <w:rFonts w:ascii="Times New Roman" w:cs="Times New Roman" w:eastAsia="Times New Roman" w:hAnsi="Times New Roman"/>
          <w:sz w:val="17"/>
          <w:szCs w:val="17"/>
          <w:b w:val="1"/>
          <w:bCs w:val="1"/>
          <w:color w:val="auto"/>
        </w:rPr>
      </w:pPr>
    </w:p>
    <w:p>
      <w:pPr>
        <w:ind w:left="1220" w:hanging="614"/>
        <w:spacing w:after="0" w:line="274" w:lineRule="auto"/>
        <w:tabs>
          <w:tab w:leader="none" w:pos="122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purchases certain raw materials from Foshan Viomi and its subsidiaries. The Group also sells its own branded products to Foshan Viomi, and provides rental services, and other services to Foshan Viomi and its subsidiaries.</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related party provides transportation services, maintenance services, promotion services as well as installation services for the Group.</w:t>
      </w:r>
    </w:p>
    <w:p>
      <w:pPr>
        <w:spacing w:after="0" w:line="207"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1, 2024, the Company entered into a loan agreement with Foshan Viomi to lend USD20.0 million for its working capital needs with maturity date on November 20, 2028. The loan has a fixed interest rate of 4.0% per annum. The loan was fully collected from Foshan Viomi as of December 31, 2024.</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14, 2019, Guangdong Lizi entered into a loan agreement with Foshan Viomi to borrow RMB10.0 million. The loan has a fixed interest rate of 4.8% per annum. The loan was fully repaid by Guangdong Lizi on November 28, 2024.</w:t>
      </w:r>
    </w:p>
    <w:p>
      <w:pPr>
        <w:spacing w:after="0" w:line="154"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assets or liabilities.</w:t>
      </w:r>
    </w:p>
    <w:p>
      <w:pPr>
        <w:spacing w:after="0" w:line="174"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This guidance specifies a hierarchy of valuation techniques, which is based on whether the inputs into the valuation technique are observable or unobservable. The hierarchy is as follows:</w:t>
      </w:r>
    </w:p>
    <w:p>
      <w:pPr>
        <w:spacing w:after="0" w:line="174"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1—Valuation techniques in which all significant inputs are unadjusted quoted prices from active markets for assets or liabilities that are identical to the assets or liabilities being measured.</w:t>
      </w:r>
    </w:p>
    <w:p>
      <w:pPr>
        <w:spacing w:after="0" w:line="158"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2—Valuation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Level 3—Valuation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158" w:lineRule="exact"/>
        <w:rPr>
          <w:rFonts w:ascii="Times New Roman" w:cs="Times New Roman" w:eastAsia="Times New Roman" w:hAnsi="Times New Roman"/>
          <w:sz w:val="17"/>
          <w:szCs w:val="17"/>
          <w:b w:val="1"/>
          <w:bCs w:val="1"/>
          <w:color w:val="auto"/>
        </w:rPr>
      </w:pPr>
    </w:p>
    <w:p>
      <w:pPr>
        <w:jc w:val="both"/>
        <w:ind w:left="6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fair value guidance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75"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69"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 did not have any other financial instruments that were required to be measured at fair value on a recurring basis as of December 31, 2024 and 2025 except for short-term investments (Note 7).</w:t>
      </w:r>
    </w:p>
    <w:p>
      <w:pPr>
        <w:spacing w:after="0" w:line="158"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summarizes the Group’s assets that are measured at fair value on a recurring basis and are categorized using the fair value hierarchy as of December 31, 2024 and 2025:</w:t>
      </w:r>
    </w:p>
    <w:p>
      <w:pPr>
        <w:spacing w:after="0" w:line="93" w:lineRule="exact"/>
        <w:rPr>
          <w:sz w:val="20"/>
          <w:szCs w:val="20"/>
          <w:color w:val="auto"/>
        </w:rPr>
      </w:pPr>
    </w:p>
    <w:tbl>
      <w:tblPr>
        <w:tblLayout w:type="fixed"/>
        <w:tblInd w:w="600" w:type="dxa"/>
        <w:tblCellMar>
          <w:top w:w="0" w:type="dxa"/>
          <w:left w:w="0" w:type="dxa"/>
          <w:bottom w:w="0" w:type="dxa"/>
          <w:right w:w="0" w:type="dxa"/>
        </w:tblCellMar>
      </w:tblPr>
      <w:tr>
        <w:trPr>
          <w:trHeight w:val="322"/>
        </w:trPr>
        <w:tc>
          <w:tcPr>
            <w:tcW w:w="452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28"/>
                <w:szCs w:val="28"/>
                <w:b w:val="1"/>
                <w:bCs w:val="1"/>
                <w:color w:val="auto"/>
                <w:vertAlign w:val="superscript"/>
              </w:rPr>
              <w:t>(i)</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xml:space="preserve">Level 2 </w:t>
            </w:r>
            <w:r>
              <w:rPr>
                <w:rFonts w:ascii="Times New Roman" w:cs="Times New Roman" w:eastAsia="Times New Roman" w:hAnsi="Times New Roman"/>
                <w:sz w:val="28"/>
                <w:szCs w:val="28"/>
                <w:b w:val="1"/>
                <w:bCs w:val="1"/>
                <w:color w:val="auto"/>
                <w:vertAlign w:val="superscript"/>
              </w:rPr>
              <w:t>(ii)</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4"/>
        </w:trPr>
        <w:tc>
          <w:tcPr>
            <w:tcW w:w="45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As of December 31, 2025</w:t>
            </w:r>
          </w:p>
        </w:tc>
        <w:tc>
          <w:tcPr>
            <w:tcW w:w="10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82,598</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82,598</w:t>
            </w:r>
          </w:p>
        </w:tc>
      </w:tr>
      <w:tr>
        <w:trPr>
          <w:trHeight w:val="20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48,187</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24,313</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72,500</w:t>
            </w:r>
          </w:p>
        </w:tc>
      </w:tr>
    </w:tbl>
    <w:p>
      <w:pPr>
        <w:spacing w:after="0" w:line="169" w:lineRule="exact"/>
        <w:rPr>
          <w:sz w:val="20"/>
          <w:szCs w:val="20"/>
          <w:color w:val="auto"/>
        </w:rPr>
      </w:pPr>
    </w:p>
    <w:p>
      <w:pPr>
        <w:jc w:val="both"/>
        <w:ind w:left="1220" w:hanging="614"/>
        <w:spacing w:after="0" w:line="261" w:lineRule="auto"/>
        <w:tabs>
          <w:tab w:leader="none" w:pos="12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short-term investments represent mainly company securities, and the Company values these short-term investments based on unadjusted quoted prices from active markets of these securities at the end of each period, and accordingly, the Company classifies the valuation techniques that use these inputs as Level 1.</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short-term investments represent mainly company securities and structured deposits, and the Company values these short-term investments based on quoted prices of similar products provided by banks at the end of each period, and accordingly, the Company classifies the valuation techniques that use these inputs as Level 2.</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Apart from the short-term investments, the Company’s other financial instruments consist principally of cash and cash equivalents, restricted cash, short-term and long-term deposits, accounts and notes receivable, other receivables, amounts due to/from related parties, accounts and notes payable and certain accrued expenses. They are recorded at cost which approximates fair value.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11"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Group’s operating leases are principally for office space and facilities. At December 31, 2024 and 2025, The Group’s operating leases had a weighted average discount rate of 4.75% and 4.75% and a weighted-average remaining term of 2.3 years and 1.4 years, respectively. The components of lease expense were as follow</w:t>
      </w:r>
      <w:r>
        <w:rPr>
          <w:rFonts w:ascii="SimSun" w:cs="SimSun" w:eastAsia="SimSun" w:hAnsi="SimSun"/>
          <w:sz w:val="17"/>
          <w:szCs w:val="17"/>
          <w:color w:val="auto"/>
        </w:rPr>
        <w:t>：</w:t>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-110490</wp:posOffset>
            </wp:positionV>
            <wp:extent cx="6212840" cy="1282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6212840" cy="128270"/>
                    </a:xfrm>
                    <a:prstGeom prst="rect">
                      <a:avLst/>
                    </a:prstGeom>
                    <a:noFill/>
                  </pic:spPr>
                </pic:pic>
              </a:graphicData>
            </a:graphic>
          </wp:anchor>
        </w:drawing>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Operating lease expense</w:t>
      </w:r>
    </w:p>
    <w:p>
      <w:pPr>
        <w:ind w:left="600"/>
        <w:spacing w:after="0" w:line="194" w:lineRule="auto"/>
        <w:rPr>
          <w:sz w:val="20"/>
          <w:szCs w:val="20"/>
          <w:color w:val="auto"/>
        </w:rPr>
      </w:pPr>
      <w:r>
        <w:rPr>
          <w:rFonts w:ascii="Times New Roman" w:cs="Times New Roman" w:eastAsia="Times New Roman" w:hAnsi="Times New Roman"/>
          <w:sz w:val="17"/>
          <w:szCs w:val="17"/>
          <w:color w:val="auto"/>
        </w:rPr>
        <w:t xml:space="preserve">Short-term lease expense </w:t>
      </w:r>
      <w:r>
        <w:rPr>
          <w:rFonts w:ascii="Times New Roman" w:cs="Times New Roman" w:eastAsia="Times New Roman" w:hAnsi="Times New Roman"/>
          <w:sz w:val="28"/>
          <w:szCs w:val="28"/>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-160655</wp:posOffset>
            </wp:positionV>
            <wp:extent cx="6212840" cy="160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6212840" cy="16002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b w:val="1"/>
          <w:bCs w:val="1"/>
          <w:color w:val="auto"/>
        </w:rPr>
        <w:t>Total lease cost</w:t>
      </w:r>
    </w:p>
    <w:p>
      <w:pPr>
        <w:spacing w:after="0" w:line="2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(i)Includes leases with a term of one year or less.</w:t>
      </w:r>
    </w:p>
    <w:p>
      <w:pPr>
        <w:spacing w:after="0" w:line="30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7"/>
          <w:szCs w:val="17"/>
          <w:color w:val="auto"/>
        </w:rPr>
        <w:t>Supplemental cash flow information for leases was as follows: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17145</wp:posOffset>
            </wp:positionV>
            <wp:extent cx="22974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2025</w:t>
      </w:r>
    </w:p>
    <w:p>
      <w:pPr>
        <w:spacing w:after="0" w:line="2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RMB</w:t>
      </w:r>
      <w:r>
        <w:rPr>
          <w:sz w:val="20"/>
          <w:szCs w:val="20"/>
          <w:color w:val="auto"/>
        </w:rPr>
        <w:tab/>
      </w:r>
      <w:r>
        <w:rPr>
          <w:rFonts w:ascii="Times New Roman" w:cs="Times New Roman" w:eastAsia="Times New Roman" w:hAnsi="Times New Roman"/>
          <w:sz w:val="17"/>
          <w:szCs w:val="17"/>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-123190</wp:posOffset>
            </wp:positionV>
            <wp:extent cx="22974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85" w:lineRule="exact"/>
        <w:rPr>
          <w:sz w:val="20"/>
          <w:szCs w:val="20"/>
          <w:color w:val="auto"/>
        </w:rPr>
      </w:pPr>
    </w:p>
    <w:p>
      <w:pPr>
        <w:jc w:val="both"/>
        <w:ind w:left="660"/>
        <w:spacing w:after="0"/>
        <w:tabs>
          <w:tab w:leader="none" w:pos="2580" w:val="left"/>
        </w:tabs>
        <w:rPr>
          <w:sz w:val="20"/>
          <w:szCs w:val="20"/>
          <w:color w:val="auto"/>
        </w:rPr>
      </w:pPr>
      <w:r>
        <w:rPr>
          <w:rFonts w:ascii="Times New Roman" w:cs="Times New Roman" w:eastAsia="Times New Roman" w:hAnsi="Times New Roman"/>
          <w:sz w:val="17"/>
          <w:szCs w:val="17"/>
          <w:color w:val="auto"/>
        </w:rPr>
        <w:t>2,193</w:t>
      </w:r>
      <w:r>
        <w:rPr>
          <w:sz w:val="20"/>
          <w:szCs w:val="20"/>
          <w:color w:val="auto"/>
        </w:rPr>
        <w:tab/>
      </w:r>
      <w:r>
        <w:rPr>
          <w:rFonts w:ascii="Times New Roman" w:cs="Times New Roman" w:eastAsia="Times New Roman" w:hAnsi="Times New Roman"/>
          <w:sz w:val="17"/>
          <w:szCs w:val="17"/>
          <w:color w:val="auto"/>
        </w:rPr>
        <w:t>2,147</w:t>
      </w:r>
    </w:p>
    <w:p>
      <w:pPr>
        <w:spacing w:after="0" w:line="57" w:lineRule="exact"/>
        <w:rPr>
          <w:sz w:val="20"/>
          <w:szCs w:val="20"/>
          <w:color w:val="auto"/>
        </w:rPr>
      </w:pPr>
    </w:p>
    <w:p>
      <w:pPr>
        <w:jc w:val="both"/>
        <w:ind w:left="660"/>
        <w:spacing w:after="0"/>
        <w:tabs>
          <w:tab w:leader="none" w:pos="2700" w:val="left"/>
        </w:tabs>
        <w:rPr>
          <w:sz w:val="20"/>
          <w:szCs w:val="20"/>
          <w:color w:val="auto"/>
        </w:rPr>
      </w:pPr>
      <w:r>
        <w:rPr>
          <w:rFonts w:ascii="Times New Roman" w:cs="Times New Roman" w:eastAsia="Times New Roman" w:hAnsi="Times New Roman"/>
          <w:sz w:val="17"/>
          <w:szCs w:val="17"/>
          <w:color w:val="auto"/>
        </w:rPr>
        <w:t>1,147</w:t>
      </w:r>
      <w:r>
        <w:rPr>
          <w:sz w:val="20"/>
          <w:szCs w:val="20"/>
          <w:color w:val="auto"/>
        </w:rPr>
        <w:tab/>
      </w:r>
      <w:r>
        <w:rPr>
          <w:rFonts w:ascii="Times New Roman" w:cs="Times New Roman" w:eastAsia="Times New Roman" w:hAnsi="Times New Roman"/>
          <w:sz w:val="17"/>
          <w:szCs w:val="17"/>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14605</wp:posOffset>
            </wp:positionV>
            <wp:extent cx="22974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jc w:val="both"/>
        <w:ind w:left="660"/>
        <w:spacing w:after="0"/>
        <w:tabs>
          <w:tab w:leader="none" w:pos="2580" w:val="left"/>
        </w:tabs>
        <w:rPr>
          <w:sz w:val="20"/>
          <w:szCs w:val="20"/>
          <w:color w:val="auto"/>
        </w:rPr>
      </w:pPr>
      <w:r>
        <w:rPr>
          <w:rFonts w:ascii="Times New Roman" w:cs="Times New Roman" w:eastAsia="Times New Roman" w:hAnsi="Times New Roman"/>
          <w:sz w:val="17"/>
          <w:szCs w:val="17"/>
          <w:b w:val="1"/>
          <w:bCs w:val="1"/>
          <w:color w:val="auto"/>
        </w:rPr>
        <w:t>3,340</w:t>
      </w:r>
      <w:r>
        <w:rPr>
          <w:sz w:val="20"/>
          <w:szCs w:val="20"/>
          <w:color w:val="auto"/>
        </w:rPr>
        <w:tab/>
      </w:r>
      <w:r>
        <w:rPr>
          <w:rFonts w:ascii="Times New Roman" w:cs="Times New Roman" w:eastAsia="Times New Roman" w:hAnsi="Times New Roman"/>
          <w:sz w:val="17"/>
          <w:szCs w:val="17"/>
          <w:b w:val="1"/>
          <w:bCs w:val="1"/>
          <w:color w:val="auto"/>
        </w:rPr>
        <w:t>2,487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17145</wp:posOffset>
            </wp:positionV>
            <wp:extent cx="2297430" cy="241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2297430" cy="2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17145</wp:posOffset>
            </wp:positionV>
            <wp:extent cx="22974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2025</w:t>
      </w:r>
    </w:p>
    <w:p>
      <w:pPr>
        <w:spacing w:after="0" w:line="2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RMB</w:t>
      </w:r>
      <w:r>
        <w:rPr>
          <w:sz w:val="20"/>
          <w:szCs w:val="20"/>
          <w:color w:val="auto"/>
        </w:rPr>
        <w:tab/>
      </w:r>
      <w:r>
        <w:rPr>
          <w:rFonts w:ascii="Times New Roman" w:cs="Times New Roman" w:eastAsia="Times New Roman" w:hAnsi="Times New Roman"/>
          <w:sz w:val="17"/>
          <w:szCs w:val="17"/>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-123190</wp:posOffset>
            </wp:positionV>
            <wp:extent cx="22974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6600" w:space="720"/>
            <w:col w:w="3920"/>
          </w:cols>
          <w:pgMar w:left="320" w:top="224" w:right="339" w:bottom="1440" w:gutter="0" w:footer="0" w:header="0"/>
          <w:type w:val="continuous"/>
        </w:sectPr>
      </w:pPr>
    </w:p>
    <w:tbl>
      <w:tblPr>
        <w:tblLayout w:type="fixed"/>
        <w:tblInd w:w="600" w:type="dxa"/>
        <w:tblCellMar>
          <w:top w:w="0" w:type="dxa"/>
          <w:left w:w="0" w:type="dxa"/>
          <w:bottom w:w="0" w:type="dxa"/>
          <w:right w:w="0" w:type="dxa"/>
        </w:tblCellMar>
      </w:tblPr>
      <w:tr>
        <w:trPr>
          <w:trHeight w:val="195"/>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flows relating to operating leases</w:t>
            </w:r>
          </w:p>
        </w:tc>
        <w:tc>
          <w:tcPr>
            <w:tcW w:w="2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rPr>
              <w:t>1,991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r>
      <w:tr>
        <w:trPr>
          <w:trHeight w:val="218"/>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arising from obtaining right-of-use assets</w:t>
            </w:r>
          </w:p>
        </w:tc>
        <w:tc>
          <w:tcPr>
            <w:tcW w:w="290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rPr>
              <w:t>2,568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r>
    </w:tbl>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2025, the aggregate future minimum rental payments under non-cancelable agreement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RMB</w:t>
            </w:r>
          </w:p>
        </w:tc>
        <w:tc>
          <w:tcPr>
            <w:tcW w:w="860" w:type="dxa"/>
            <w:vAlign w:val="bottom"/>
          </w:tcPr>
          <w:p>
            <w:pPr>
              <w:spacing w:after="0"/>
              <w:rPr>
                <w:sz w:val="19"/>
                <w:szCs w:val="19"/>
                <w:color w:val="auto"/>
              </w:rPr>
            </w:pPr>
          </w:p>
        </w:tc>
      </w:tr>
      <w:tr>
        <w:trPr>
          <w:trHeight w:val="195"/>
        </w:trPr>
        <w:tc>
          <w:tcPr>
            <w:tcW w:w="600" w:type="dxa"/>
            <w:vAlign w:val="bottom"/>
          </w:tcPr>
          <w:p>
            <w:pPr>
              <w:spacing w:after="0"/>
              <w:rPr>
                <w:sz w:val="16"/>
                <w:szCs w:val="16"/>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4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Pr>
          <w:p>
            <w:pPr>
              <w:spacing w:after="0"/>
              <w:rPr>
                <w:sz w:val="16"/>
                <w:szCs w:val="16"/>
                <w:color w:val="auto"/>
              </w:rPr>
            </w:pPr>
          </w:p>
        </w:tc>
      </w:tr>
      <w:tr>
        <w:trPr>
          <w:trHeight w:val="202"/>
        </w:trPr>
        <w:tc>
          <w:tcPr>
            <w:tcW w:w="60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5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304</w:t>
            </w:r>
          </w:p>
        </w:tc>
        <w:tc>
          <w:tcPr>
            <w:tcW w:w="860" w:type="dxa"/>
            <w:vAlign w:val="bottom"/>
          </w:tcPr>
          <w:p>
            <w:pPr>
              <w:spacing w:after="0"/>
              <w:rPr>
                <w:sz w:val="17"/>
                <w:szCs w:val="17"/>
                <w:color w:val="auto"/>
              </w:rPr>
            </w:pPr>
          </w:p>
        </w:tc>
      </w:tr>
      <w:tr>
        <w:trPr>
          <w:trHeight w:val="214"/>
        </w:trPr>
        <w:tc>
          <w:tcPr>
            <w:tcW w:w="6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5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131</w:t>
            </w:r>
          </w:p>
        </w:tc>
        <w:tc>
          <w:tcPr>
            <w:tcW w:w="86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46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future minimum rental payment</w:t>
            </w:r>
          </w:p>
        </w:tc>
        <w:tc>
          <w:tcPr>
            <w:tcW w:w="3420" w:type="dxa"/>
            <w:vAlign w:val="bottom"/>
          </w:tcPr>
          <w:p>
            <w:pPr>
              <w:spacing w:after="0"/>
              <w:rPr>
                <w:sz w:val="16"/>
                <w:szCs w:val="16"/>
                <w:color w:val="auto"/>
              </w:rPr>
            </w:pPr>
          </w:p>
        </w:tc>
        <w:tc>
          <w:tcPr>
            <w:tcW w:w="1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1,791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4"/>
        </w:trPr>
        <w:tc>
          <w:tcPr>
            <w:tcW w:w="6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amount representing imputed interest</w:t>
            </w:r>
          </w:p>
        </w:tc>
        <w:tc>
          <w:tcPr>
            <w:tcW w:w="5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86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46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Present value of future minimum rental payments</w:t>
            </w:r>
          </w:p>
        </w:tc>
        <w:tc>
          <w:tcPr>
            <w:tcW w:w="3420" w:type="dxa"/>
            <w:vAlign w:val="bottom"/>
          </w:tcPr>
          <w:p>
            <w:pPr>
              <w:spacing w:after="0"/>
              <w:rPr>
                <w:sz w:val="16"/>
                <w:szCs w:val="16"/>
                <w:color w:val="auto"/>
              </w:rPr>
            </w:pPr>
          </w:p>
        </w:tc>
        <w:tc>
          <w:tcPr>
            <w:tcW w:w="1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1,731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4"/>
        </w:trPr>
        <w:tc>
          <w:tcPr>
            <w:tcW w:w="6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 recorded in other current liabilities</w:t>
            </w:r>
          </w:p>
        </w:tc>
        <w:tc>
          <w:tcPr>
            <w:tcW w:w="5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1,310</w:t>
            </w:r>
          </w:p>
        </w:tc>
        <w:tc>
          <w:tcPr>
            <w:tcW w:w="86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46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Long-term lease liabilities, recorded in other long-term liabilities</w:t>
            </w:r>
          </w:p>
        </w:tc>
        <w:tc>
          <w:tcPr>
            <w:tcW w:w="3420" w:type="dxa"/>
            <w:vAlign w:val="bottom"/>
          </w:tcPr>
          <w:p>
            <w:pPr>
              <w:spacing w:after="0"/>
              <w:rPr>
                <w:sz w:val="16"/>
                <w:szCs w:val="16"/>
                <w:color w:val="auto"/>
              </w:rPr>
            </w:pPr>
          </w:p>
        </w:tc>
        <w:tc>
          <w:tcPr>
            <w:tcW w:w="16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421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96"/>
        </w:trPr>
        <w:tc>
          <w:tcPr>
            <w:tcW w:w="6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3"/>
          </w:tcPr>
          <w:p>
            <w:pPr>
              <w:jc w:val="right"/>
              <w:ind w:right="4600"/>
              <w:spacing w:after="0"/>
              <w:rPr>
                <w:sz w:val="20"/>
                <w:szCs w:val="20"/>
                <w:color w:val="auto"/>
              </w:rPr>
            </w:pPr>
            <w:r>
              <w:rPr>
                <w:rFonts w:ascii="Times New Roman" w:cs="Times New Roman" w:eastAsia="Times New Roman" w:hAnsi="Times New Roman"/>
                <w:sz w:val="17"/>
                <w:szCs w:val="17"/>
                <w:color w:val="auto"/>
              </w:rPr>
              <w:t>F-51</w:t>
            </w: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4"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08" w:lineRule="exact"/>
        <w:rPr>
          <w:sz w:val="20"/>
          <w:szCs w:val="20"/>
          <w:color w:val="auto"/>
        </w:rPr>
      </w:pPr>
    </w:p>
    <w:p>
      <w:pPr>
        <w:ind w:left="600" w:hanging="599"/>
        <w:spacing w:after="0"/>
        <w:tabs>
          <w:tab w:leader="none" w:pos="600" w:val="left"/>
        </w:tabs>
        <w:numPr>
          <w:ilvl w:val="0"/>
          <w:numId w:val="18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Operating lease commitments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operating commitments mainly consist of the short-term lease commitments and leases that have not yet commenced but that create significant rights and obligations for the Company, which are not included in operating lease right-of–use assets and lease liabilities. As of December 31, 2025, there were no future minimum commitments under non-cancelable agreements.</w:t>
      </w:r>
    </w:p>
    <w:p>
      <w:pPr>
        <w:spacing w:after="0" w:line="165" w:lineRule="exact"/>
        <w:rPr>
          <w:rFonts w:ascii="Times New Roman" w:cs="Times New Roman" w:eastAsia="Times New Roman" w:hAnsi="Times New Roman"/>
          <w:sz w:val="17"/>
          <w:szCs w:val="17"/>
          <w:b w:val="1"/>
          <w:bCs w:val="1"/>
          <w:i w:val="1"/>
          <w:iCs w:val="1"/>
          <w:color w:val="auto"/>
        </w:rPr>
      </w:pPr>
    </w:p>
    <w:p>
      <w:pPr>
        <w:ind w:left="600" w:hanging="599"/>
        <w:spacing w:after="0"/>
        <w:tabs>
          <w:tab w:leader="none" w:pos="600" w:val="left"/>
        </w:tabs>
        <w:numPr>
          <w:ilvl w:val="0"/>
          <w:numId w:val="18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Capital and other commitment</w:t>
      </w:r>
    </w:p>
    <w:p>
      <w:pPr>
        <w:spacing w:after="0" w:line="211" w:lineRule="exact"/>
        <w:rPr>
          <w:rFonts w:ascii="Times New Roman" w:cs="Times New Roman" w:eastAsia="Times New Roman" w:hAnsi="Times New Roman"/>
          <w:sz w:val="17"/>
          <w:szCs w:val="17"/>
          <w:b w:val="1"/>
          <w:bCs w:val="1"/>
          <w:i w:val="1"/>
          <w:iCs w:val="1"/>
          <w:color w:val="auto"/>
        </w:rPr>
      </w:pPr>
    </w:p>
    <w:p>
      <w:pPr>
        <w:ind w:left="62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Capital expenditures contracted for at the balance sheet dates but not recognized in the consolidated financial statements are as follows:</w:t>
      </w:r>
    </w:p>
    <w:p>
      <w:pPr>
        <w:spacing w:after="0" w:line="21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As of December 31,</w:t>
      </w:r>
    </w:p>
    <w:p>
      <w:pPr>
        <w:spacing w:after="0" w:line="2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608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r>
      <w:tr>
        <w:trPr>
          <w:trHeight w:val="194"/>
        </w:trPr>
        <w:tc>
          <w:tcPr>
            <w:tcW w:w="6080" w:type="dxa"/>
            <w:vAlign w:val="bottom"/>
          </w:tcPr>
          <w:p>
            <w:pPr>
              <w:spacing w:after="0"/>
              <w:rPr>
                <w:sz w:val="16"/>
                <w:szCs w:val="16"/>
                <w:color w:val="auto"/>
              </w:rPr>
            </w:pPr>
          </w:p>
        </w:tc>
        <w:tc>
          <w:tcPr>
            <w:tcW w:w="1120" w:type="dxa"/>
            <w:vAlign w:val="bottom"/>
          </w:tcPr>
          <w:p>
            <w:pPr>
              <w:ind w:left="64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ind w:left="640"/>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80" w:type="dxa"/>
            <w:vAlign w:val="bottom"/>
          </w:tcPr>
          <w:p>
            <w:pPr>
              <w:spacing w:after="0"/>
              <w:rPr>
                <w:sz w:val="16"/>
                <w:szCs w:val="16"/>
                <w:color w:val="auto"/>
              </w:rPr>
            </w:pPr>
          </w:p>
        </w:tc>
      </w:tr>
      <w:tr>
        <w:trPr>
          <w:trHeight w:val="20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40,848</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57,147</w:t>
            </w:r>
          </w:p>
        </w:tc>
      </w:tr>
    </w:tbl>
    <w:p>
      <w:pPr>
        <w:spacing w:after="0" w:line="181" w:lineRule="exact"/>
        <w:rPr>
          <w:sz w:val="20"/>
          <w:szCs w:val="20"/>
          <w:color w:val="auto"/>
        </w:rPr>
      </w:pPr>
    </w:p>
    <w:p>
      <w:pPr>
        <w:ind w:left="600" w:hanging="599"/>
        <w:spacing w:after="0"/>
        <w:tabs>
          <w:tab w:leader="none" w:pos="600" w:val="left"/>
        </w:tabs>
        <w:numPr>
          <w:ilvl w:val="0"/>
          <w:numId w:val="18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Legal proceedings</w:t>
      </w:r>
    </w:p>
    <w:p>
      <w:pPr>
        <w:spacing w:after="0" w:line="211"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likely to have a material adverse effect on the Group’s financial position, results of operations or cash flows.</w:t>
      </w:r>
    </w:p>
    <w:p>
      <w:pPr>
        <w:spacing w:after="0" w:line="169" w:lineRule="exact"/>
        <w:rPr>
          <w:rFonts w:ascii="Times New Roman" w:cs="Times New Roman" w:eastAsia="Times New Roman" w:hAnsi="Times New Roman"/>
          <w:sz w:val="17"/>
          <w:szCs w:val="17"/>
          <w:b w:val="1"/>
          <w:bCs w:val="1"/>
          <w:i w:val="1"/>
          <w:iCs w:val="1"/>
          <w:color w:val="auto"/>
        </w:rPr>
      </w:pPr>
    </w:p>
    <w:p>
      <w:pPr>
        <w:jc w:val="both"/>
        <w:ind w:left="600"/>
        <w:spacing w:after="0" w:line="261"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However, litigation is subject to inherent uncertainties and the Group’s view of these matters may change in the future. If an unfavorable outcome were to occur, there exists the possibility of a material adverse impact on the Group’s financial position and results of operations for the periods in which the unfavorable outcome occurs.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NET ASSETS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Relevant PRC laws and regulations permit payments of dividends by the Group’s entities incorporated in the PRC only out of their retained earnings, if any, as determined in accordance with PRC accounting standards and regulations. In addition, the Company’s entities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Company’s entities incorporated in the PRC are restricted in their ability to transfer a portion of their net assets to the Company either in the form of dividends, loans or advances, which restricted portion amounted to RMB97,942 and RMB653,035 as of December 31, 2024 and 2025.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there is no other restriction on use of proceeds generated by the Group’s subsidiaries and VIEs to satisfy any obligations of the Company.</w:t>
      </w:r>
    </w:p>
    <w:p>
      <w:pPr>
        <w:spacing w:after="0" w:line="182" w:lineRule="exact"/>
        <w:rPr>
          <w:rFonts w:ascii="Times New Roman" w:cs="Times New Roman" w:eastAsia="Times New Roman" w:hAnsi="Times New Roman"/>
          <w:sz w:val="17"/>
          <w:szCs w:val="17"/>
          <w:b w:val="1"/>
          <w:bCs w:val="1"/>
          <w:color w:val="auto"/>
        </w:rPr>
      </w:pPr>
    </w:p>
    <w:p>
      <w:pPr>
        <w:jc w:val="both"/>
        <w:ind w:left="600"/>
        <w:spacing w:after="0" w:line="28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For the year ended December 31, 2025, the Company performed a test on the restricted net assets of subsidiaries and VIEs in accordance with Securities and Exchange Commission Regulation S-X Rule 4-08 (e) (3), “General Notes to Financial Statements” and concluded that the restricted net assets exceed 25% of the consolidated net assets of the Company as of December 31, 2025 and the condensed financial information of the Company are required to be presented.</w:t>
      </w:r>
    </w:p>
    <w:p>
      <w:pPr>
        <w:spacing w:after="0" w:line="15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transfers from the Company’s PRC subsidiaries to their parent companies outside of China are subject to PRC government control of currency conversion. Shortages in the availability of foreign currency may temporarily restrict the ability of the PRC subsidiaries and VIEs and their subsidiaries to remit sufficient foreign currency to pay dividends or other payments to the Company, or otherwise satisfy their foreign currency denominated obligation.</w:t>
      </w:r>
    </w:p>
    <w:p>
      <w:pPr>
        <w:spacing w:after="0" w:line="165"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1, 2026, the Group entered into a loan agreement with Agricultural Bank of China to borrow RMB20.0 million as working capital for one year, with a maturity date of December 31, 2026. These loans have a fixed interest rate of 2.25% per annum.</w:t>
      </w:r>
    </w:p>
    <w:p>
      <w:pPr>
        <w:spacing w:after="0" w:line="158"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7, 2026, the Group entered into a loan agreement with Bank of China to borrow RMB10.0 million as working capital for one year. The loan was withdrawn on January 21, 2026 with a maturity date in January 21, 2027. The loan has a fixed interest rate of 2.30% per annum.</w:t>
      </w:r>
    </w:p>
    <w:p>
      <w:pPr>
        <w:spacing w:after="0" w:line="158"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25, 2026, the Company announced that its Board of Directors has approved a special cash dividend of US$0.022 per ordinary share on its outstanding shares to shareholders of record as of the close of trading on April 6, 2026. The special cash dividend has been paid in full as of the issuance date of the consolidated financial statements.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Group has evaluated the impact of events that have occurred subsequent to December 31, 2025, through April 22, 2026, the issuance date of the consolidated financial statements, and concluded that no other subsequent events have occurred that would require recognition in the consolidated financial statements or disclosure in the notes to the consolidated financial statements, except for the event as discussed above.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CONDENSED FINANCIAL INFORMATION OF THE PARENT COMPANY</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requirements of Rule 12-04(a), 5-04(c) and 4-08(e)(3) of Regulation S-X, the condensed financial information of the parent company shall be filed when the restricted net assets of consolidated subsidiaries exceed 25 percent of consolidated net assets as of the end of the most recently completed fiscal year. The Group performed a test on the restricted net assets of consolidated subsidiaries in accordance with such requirement and concluded that it was applicable to the Company as the restricted net assets of the Company’s PRC subsidiaries exceeded 25% of the consolidated net assets of the Company. Therefore, the condensed financial statements for the parent company are included herein.</w:t>
      </w:r>
    </w:p>
    <w:p>
      <w:pPr>
        <w:spacing w:after="0" w:line="175"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condensed financial information of the parent company has been prepared using the same accounting policies as set out in the Company’s consolidated financial statements except that the parent company used the equity method to account for investment in its subsidiaries. Such investment is presented on the condensed balance sheets as “Investment in subsidiaries/VIEs” and the respective profit or loss as “Equity in (loss) gain of subsidiaries/VIEs” on the condensed statements of operations.</w:t>
      </w:r>
    </w:p>
    <w:p>
      <w:pPr>
        <w:spacing w:after="0" w:line="174"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did not pay any dividend for the periods presented. As of December 31, 2024 and 2025, there were no material contingencies, significant provisions for long-term obligations, or guarantees of the Company, except for those which have been separately disclosed in the consolidated financial statements, if any.</w:t>
      </w:r>
    </w:p>
    <w:p>
      <w:pPr>
        <w:spacing w:after="0" w:line="165"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CONDENSED PARENT COMPANY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7"/>
                <w:szCs w:val="17"/>
                <w:b w:val="1"/>
                <w:bCs w:val="1"/>
                <w:color w:val="auto"/>
                <w:w w:val="99"/>
              </w:rPr>
              <w:t>As of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580" w:type="dxa"/>
            <w:vAlign w:val="bottom"/>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RMB</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52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164,583</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2,667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from Group companies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542,635</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501,851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Investments in subsidiaries/VIEs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696,911</w:t>
            </w:r>
          </w:p>
        </w:tc>
        <w:tc>
          <w:tcPr>
            <w:tcW w:w="5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471,430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132,063</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660,149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0" w:type="dxa"/>
            <w:vAlign w:val="bottom"/>
          </w:tcPr>
          <w:p>
            <w:pPr>
              <w:spacing w:after="0"/>
              <w:rPr>
                <w:sz w:val="21"/>
                <w:szCs w:val="21"/>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1,536,192</w:t>
            </w:r>
          </w:p>
        </w:tc>
        <w:tc>
          <w:tcPr>
            <w:tcW w:w="3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1,639,015</w:t>
            </w:r>
          </w:p>
        </w:tc>
        <w:tc>
          <w:tcPr>
            <w:tcW w:w="100" w:type="dxa"/>
            <w:vAlign w:val="bottom"/>
            <w:tcBorders>
              <w:bottom w:val="single" w:sz="8" w:color="CCEEFF"/>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00" w:type="dxa"/>
            <w:vAlign w:val="bottom"/>
            <w:vMerge w:val="restart"/>
          </w:tcPr>
          <w:p>
            <w:pPr>
              <w:spacing w:after="0"/>
              <w:rPr>
                <w:sz w:val="15"/>
                <w:szCs w:val="15"/>
                <w:color w:val="auto"/>
              </w:rPr>
            </w:pPr>
          </w:p>
        </w:tc>
        <w:tc>
          <w:tcPr>
            <w:tcW w:w="69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and notes payable</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3,254</w:t>
            </w:r>
          </w:p>
        </w:tc>
        <w:tc>
          <w:tcPr>
            <w:tcW w:w="5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Group companies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88,497</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106,881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692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5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91,751</w:t>
            </w:r>
          </w:p>
        </w:tc>
        <w:tc>
          <w:tcPr>
            <w:tcW w:w="30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112,352</w:t>
            </w:r>
          </w:p>
        </w:tc>
        <w:tc>
          <w:tcPr>
            <w:tcW w:w="100" w:type="dxa"/>
            <w:vAlign w:val="bottom"/>
            <w:tcBorders>
              <w:bottom w:val="single" w:sz="8" w:color="CCEEFF"/>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6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Shareholders’ equity</w:t>
            </w:r>
          </w:p>
        </w:tc>
        <w:tc>
          <w:tcPr>
            <w:tcW w:w="1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69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Class A Ordinary Shares (US$0.00001 par value; 4,800,000,000 shares authorized; 101,059,544</w:t>
            </w: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5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and 99,200,641 shares issued and outstanding as of December 31, 2024 and December 31, 2025,</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5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respectively)</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w:t>
            </w:r>
          </w:p>
        </w:tc>
        <w:tc>
          <w:tcPr>
            <w:tcW w:w="5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69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Class B Ordinary Shares (US$0.00001 par value; 150,000,000 shares authorized; 102,764,550 and</w:t>
            </w:r>
          </w:p>
        </w:tc>
        <w:tc>
          <w:tcPr>
            <w:tcW w:w="1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102,764,548 shares issued and outstanding as of December 31, 2024 and December 31, 2025,</w:t>
            </w:r>
          </w:p>
        </w:tc>
        <w:tc>
          <w:tcPr>
            <w:tcW w:w="1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(85,426)</w:t>
            </w:r>
          </w:p>
        </w:tc>
        <w:tc>
          <w:tcPr>
            <w:tcW w:w="5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(103,085)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1,376,730</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1,403,419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153,125</w:t>
            </w:r>
          </w:p>
        </w:tc>
        <w:tc>
          <w:tcPr>
            <w:tcW w:w="5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226,317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69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equity attributable to shareholders of the Company</w:t>
            </w:r>
          </w:p>
        </w:tc>
        <w:tc>
          <w:tcPr>
            <w:tcW w:w="15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1,444,441</w:t>
            </w:r>
          </w:p>
        </w:tc>
        <w:tc>
          <w:tcPr>
            <w:tcW w:w="3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1,526,663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1,536,192</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1,639,015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920" w:type="dxa"/>
            <w:vAlign w:val="bottom"/>
            <w:vMerge w:val="restart"/>
          </w:tcPr>
          <w:p>
            <w:pPr>
              <w:ind w:left="4860"/>
              <w:spacing w:after="0"/>
              <w:rPr>
                <w:sz w:val="20"/>
                <w:szCs w:val="20"/>
                <w:color w:val="auto"/>
              </w:rPr>
            </w:pPr>
            <w:r>
              <w:rPr>
                <w:rFonts w:ascii="Times New Roman" w:cs="Times New Roman" w:eastAsia="Times New Roman" w:hAnsi="Times New Roman"/>
                <w:sz w:val="17"/>
                <w:szCs w:val="17"/>
                <w:color w:val="auto"/>
              </w:rPr>
              <w:t>F-54</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4"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VIOMI TECHNOLOGY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2024 AND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shares, ADS, per share and per ADS data)</w:t>
      </w:r>
    </w:p>
    <w:p>
      <w:pPr>
        <w:spacing w:after="0" w:line="188" w:lineRule="exact"/>
        <w:rPr>
          <w:sz w:val="20"/>
          <w:szCs w:val="20"/>
          <w:color w:val="auto"/>
        </w:rPr>
      </w:pPr>
    </w:p>
    <w:p>
      <w:pPr>
        <w:ind w:left="600" w:hanging="599"/>
        <w:spacing w:after="0"/>
        <w:tabs>
          <w:tab w:leader="none" w:pos="600" w:val="left"/>
        </w:tabs>
        <w:numPr>
          <w:ilvl w:val="0"/>
          <w:numId w:val="1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CONDENSED FINANCIAL INFORMATION OF THE PARENT COMPANY (Continued)</w:t>
      </w:r>
    </w:p>
    <w:p>
      <w:pPr>
        <w:spacing w:after="0" w:line="207"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CONDENSED PARENT COMPANY STATEMENTS OF OPERATIONS</w:t>
      </w:r>
    </w:p>
    <w:p>
      <w:pPr>
        <w:spacing w:after="0" w:line="22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18"/>
                <w:szCs w:val="18"/>
                <w:color w:val="auto"/>
              </w:rPr>
            </w:pPr>
          </w:p>
        </w:tc>
        <w:tc>
          <w:tcPr>
            <w:tcW w:w="1020" w:type="dxa"/>
            <w:vAlign w:val="bottom"/>
            <w:tcBorders>
              <w:top w:val="single" w:sz="8" w:color="auto"/>
            </w:tcBorders>
          </w:tcPr>
          <w:p>
            <w:pPr>
              <w:jc w:val="center"/>
              <w:ind w:left="476"/>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20" w:type="dxa"/>
            <w:vAlign w:val="bottom"/>
            <w:tcBorders>
              <w:top w:val="single" w:sz="8" w:color="auto"/>
            </w:tcBorders>
          </w:tcPr>
          <w:p>
            <w:pPr>
              <w:jc w:val="center"/>
              <w:ind w:left="476"/>
              <w:spacing w:after="0" w:line="194"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30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14"/>
        </w:trPr>
        <w:tc>
          <w:tcPr>
            <w:tcW w:w="60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(5,072)</w:t>
            </w: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(5,768)</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(4,582)</w:t>
            </w:r>
          </w:p>
        </w:tc>
        <w:tc>
          <w:tcPr>
            <w:tcW w:w="1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0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0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(5,072)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(5,768)</w:t>
            </w:r>
          </w:p>
        </w:tc>
        <w:tc>
          <w:tcPr>
            <w:tcW w:w="3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(4,582)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(310)</w:t>
            </w:r>
          </w:p>
        </w:tc>
        <w:tc>
          <w:tcPr>
            <w:tcW w:w="180" w:type="dxa"/>
            <w:vAlign w:val="bottom"/>
          </w:tcPr>
          <w:p>
            <w:pPr>
              <w:spacing w:after="0"/>
              <w:rPr>
                <w:sz w:val="17"/>
                <w:szCs w:val="17"/>
                <w:color w:val="auto"/>
              </w:rPr>
            </w:pPr>
          </w:p>
        </w:tc>
      </w:tr>
      <w:tr>
        <w:trPr>
          <w:trHeight w:val="214"/>
        </w:trPr>
        <w:tc>
          <w:tcPr>
            <w:tcW w:w="60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in (loss) gain of subsidiaries/VIEs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(74,290)</w:t>
            </w:r>
          </w:p>
        </w:tc>
        <w:tc>
          <w:tcPr>
            <w:tcW w:w="2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78,525</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127,470</w:t>
            </w:r>
          </w:p>
        </w:tc>
        <w:tc>
          <w:tcPr>
            <w:tcW w:w="1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04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(Loss) Income from operations</w:t>
            </w:r>
          </w:p>
        </w:tc>
        <w:tc>
          <w:tcPr>
            <w:tcW w:w="10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2"/>
              </w:rPr>
              <w:t>(79,362)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72,757</w:t>
            </w:r>
          </w:p>
        </w:tc>
        <w:tc>
          <w:tcPr>
            <w:tcW w:w="300" w:type="dxa"/>
            <w:vAlign w:val="bottom"/>
          </w:tcPr>
          <w:p>
            <w:pPr>
              <w:spacing w:after="0"/>
              <w:rPr>
                <w:sz w:val="16"/>
                <w:szCs w:val="16"/>
                <w:color w:val="auto"/>
              </w:rPr>
            </w:pPr>
          </w:p>
        </w:tc>
        <w:tc>
          <w:tcPr>
            <w:tcW w:w="15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122,578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investment (expenses) income, net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(7,006)</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(7,932)</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19,066</w:t>
            </w:r>
          </w:p>
        </w:tc>
        <w:tc>
          <w:tcPr>
            <w:tcW w:w="180" w:type="dxa"/>
            <w:vAlign w:val="bottom"/>
          </w:tcPr>
          <w:p>
            <w:pPr>
              <w:spacing w:after="0"/>
              <w:rPr>
                <w:sz w:val="17"/>
                <w:szCs w:val="17"/>
                <w:color w:val="auto"/>
              </w:rPr>
            </w:pPr>
          </w:p>
        </w:tc>
      </w:tr>
      <w:tr>
        <w:trPr>
          <w:trHeight w:val="214"/>
        </w:trPr>
        <w:tc>
          <w:tcPr>
            <w:tcW w:w="60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non-operating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w:t>
            </w:r>
          </w:p>
        </w:tc>
        <w:tc>
          <w:tcPr>
            <w:tcW w:w="120" w:type="dxa"/>
            <w:vAlign w:val="bottom"/>
          </w:tcPr>
          <w:p>
            <w:pPr>
              <w:spacing w:after="0"/>
              <w:rPr>
                <w:sz w:val="18"/>
                <w:szCs w:val="18"/>
                <w:color w:val="auto"/>
              </w:rPr>
            </w:pP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0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(Loss) Income before income tax expenses</w:t>
            </w:r>
          </w:p>
        </w:tc>
        <w:tc>
          <w:tcPr>
            <w:tcW w:w="10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2"/>
              </w:rPr>
              <w:t>(83,204)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64,825</w:t>
            </w:r>
          </w:p>
        </w:tc>
        <w:tc>
          <w:tcPr>
            <w:tcW w:w="3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141,644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14"/>
        </w:trPr>
        <w:tc>
          <w:tcPr>
            <w:tcW w:w="60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0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(loss) income</w:t>
            </w:r>
          </w:p>
        </w:tc>
        <w:tc>
          <w:tcPr>
            <w:tcW w:w="10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2"/>
              </w:rPr>
              <w:t>(83,204)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64,825</w:t>
            </w:r>
          </w:p>
        </w:tc>
        <w:tc>
          <w:tcPr>
            <w:tcW w:w="3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141,644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600" w:type="dxa"/>
            <w:vAlign w:val="bottom"/>
          </w:tcPr>
          <w:p>
            <w:pPr>
              <w:spacing w:after="0"/>
              <w:rPr>
                <w:sz w:val="16"/>
                <w:szCs w:val="16"/>
                <w:color w:val="auto"/>
              </w:rPr>
            </w:pPr>
          </w:p>
        </w:tc>
        <w:tc>
          <w:tcPr>
            <w:tcW w:w="6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Net (loss) income from discontinued operations attributable to the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8"/>
        </w:trPr>
        <w:tc>
          <w:tcPr>
            <w:tcW w:w="666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Company</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212529"/>
              </w:rPr>
              <w:t>(1,470</w:t>
            </w:r>
            <w:r>
              <w:rPr>
                <w:rFonts w:ascii="Times New Roman" w:cs="Times New Roman" w:eastAsia="Times New Roman" w:hAnsi="Times New Roman"/>
                <w:sz w:val="17"/>
                <w:szCs w:val="17"/>
                <w:color w:val="000000"/>
              </w:rPr>
              <w:t>)</w:t>
            </w: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(1,411)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r>
      <w:tr>
        <w:trPr>
          <w:trHeight w:val="182"/>
        </w:trPr>
        <w:tc>
          <w:tcPr>
            <w:tcW w:w="600" w:type="dxa"/>
            <w:vAlign w:val="bottom"/>
          </w:tcPr>
          <w:p>
            <w:pPr>
              <w:spacing w:after="0"/>
              <w:rPr>
                <w:sz w:val="15"/>
                <w:szCs w:val="15"/>
                <w:color w:val="auto"/>
              </w:rPr>
            </w:pPr>
          </w:p>
        </w:tc>
        <w:tc>
          <w:tcPr>
            <w:tcW w:w="60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Net (loss) income attributable to ordinary shareholders of the</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247"/>
        </w:trPr>
        <w:tc>
          <w:tcPr>
            <w:tcW w:w="60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10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212529"/>
              </w:rPr>
              <w:t>(84,674</w:t>
            </w:r>
            <w:r>
              <w:rPr>
                <w:rFonts w:ascii="Times New Roman" w:cs="Times New Roman" w:eastAsia="Times New Roman" w:hAnsi="Times New Roman"/>
                <w:sz w:val="17"/>
                <w:szCs w:val="17"/>
                <w:b w:val="1"/>
                <w:bCs w:val="1"/>
                <w:color w:val="000000"/>
              </w:rPr>
              <w:t>)</w:t>
            </w:r>
          </w:p>
        </w:tc>
        <w:tc>
          <w:tcPr>
            <w:tcW w:w="2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212529"/>
              </w:rPr>
              <w:t>63,414</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212529"/>
              </w:rPr>
              <w:t>141,644</w:t>
            </w:r>
          </w:p>
        </w:tc>
        <w:tc>
          <w:tcPr>
            <w:tcW w:w="18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1"/>
        </w:trPr>
        <w:tc>
          <w:tcPr>
            <w:tcW w:w="6660" w:type="dxa"/>
            <w:vAlign w:val="bottom"/>
            <w:gridSpan w:val="3"/>
          </w:tcPr>
          <w:p>
            <w:pPr>
              <w:ind w:left="600"/>
              <w:spacing w:after="0"/>
              <w:rPr>
                <w:sz w:val="20"/>
                <w:szCs w:val="20"/>
                <w:color w:val="auto"/>
              </w:rPr>
            </w:pPr>
            <w:r>
              <w:rPr>
                <w:rFonts w:ascii="Times New Roman" w:cs="Times New Roman" w:eastAsia="Times New Roman" w:hAnsi="Times New Roman"/>
                <w:sz w:val="17"/>
                <w:szCs w:val="17"/>
                <w:b w:val="1"/>
                <w:bCs w:val="1"/>
                <w:color w:val="auto"/>
              </w:rPr>
              <w:t>CONDENSED PARENT COMPANY STATEMENTS OF CASH FLOWS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Year ended December 31,</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5640" w:type="dxa"/>
            <w:vAlign w:val="bottom"/>
            <w:gridSpan w:val="2"/>
          </w:tcPr>
          <w:p>
            <w:pPr>
              <w:spacing w:after="0"/>
              <w:rPr>
                <w:sz w:val="18"/>
                <w:szCs w:val="18"/>
                <w:color w:val="auto"/>
              </w:rPr>
            </w:pPr>
          </w:p>
        </w:tc>
        <w:tc>
          <w:tcPr>
            <w:tcW w:w="1020" w:type="dxa"/>
            <w:vAlign w:val="bottom"/>
          </w:tcPr>
          <w:p>
            <w:pPr>
              <w:jc w:val="center"/>
              <w:ind w:left="476"/>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left="9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20" w:type="dxa"/>
            <w:vAlign w:val="bottom"/>
            <w:tcBorders>
              <w:top w:val="single" w:sz="8" w:color="auto"/>
            </w:tcBorders>
          </w:tcPr>
          <w:p>
            <w:pPr>
              <w:jc w:val="center"/>
              <w:ind w:left="476"/>
              <w:spacing w:after="0" w:line="194"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w w:val="95"/>
              </w:rPr>
              <w:t>RMB</w:t>
            </w:r>
          </w:p>
        </w:tc>
        <w:tc>
          <w:tcPr>
            <w:tcW w:w="30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(93,378)</w:t>
            </w:r>
          </w:p>
        </w:tc>
        <w:tc>
          <w:tcPr>
            <w:tcW w:w="2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274,797</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111,820</w:t>
            </w:r>
          </w:p>
        </w:tc>
        <w:tc>
          <w:tcPr>
            <w:tcW w:w="18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by investing activities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21,245</w:t>
            </w: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(58,936)</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(122,020)</w:t>
            </w:r>
          </w:p>
        </w:tc>
        <w:tc>
          <w:tcPr>
            <w:tcW w:w="18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(6,421)</w:t>
            </w:r>
          </w:p>
        </w:tc>
        <w:tc>
          <w:tcPr>
            <w:tcW w:w="2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(82,790)</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(148,551)</w:t>
            </w:r>
          </w:p>
        </w:tc>
        <w:tc>
          <w:tcPr>
            <w:tcW w:w="18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exchanges rates on cash and cash equivalents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20" w:type="dxa"/>
            <w:vAlign w:val="bottom"/>
          </w:tcPr>
          <w:p>
            <w:pPr>
              <w:spacing w:after="0"/>
              <w:rPr>
                <w:sz w:val="17"/>
                <w:szCs w:val="17"/>
                <w:color w:val="auto"/>
              </w:rPr>
            </w:pP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18,169</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(2,914)</w:t>
            </w:r>
          </w:p>
        </w:tc>
        <w:tc>
          <w:tcPr>
            <w:tcW w:w="18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 and restricted cash</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(77,432)</w:t>
            </w:r>
          </w:p>
        </w:tc>
        <w:tc>
          <w:tcPr>
            <w:tcW w:w="2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151,240</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(161,665)</w:t>
            </w:r>
          </w:p>
        </w:tc>
        <w:tc>
          <w:tcPr>
            <w:tcW w:w="180" w:type="dxa"/>
            <w:vAlign w:val="bottom"/>
          </w:tcPr>
          <w:p>
            <w:pPr>
              <w:spacing w:after="0"/>
              <w:rPr>
                <w:sz w:val="17"/>
                <w:szCs w:val="17"/>
                <w:color w:val="auto"/>
              </w:rPr>
            </w:pPr>
          </w:p>
        </w:tc>
      </w:tr>
      <w:tr>
        <w:trPr>
          <w:trHeight w:val="214"/>
        </w:trPr>
        <w:tc>
          <w:tcPr>
            <w:tcW w:w="60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90,775</w:t>
            </w: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13,343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164,583</w:t>
            </w:r>
          </w:p>
        </w:tc>
        <w:tc>
          <w:tcPr>
            <w:tcW w:w="180" w:type="dxa"/>
            <w:vAlign w:val="bottom"/>
          </w:tcPr>
          <w:p>
            <w:pPr>
              <w:spacing w:after="0"/>
              <w:rPr>
                <w:sz w:val="18"/>
                <w:szCs w:val="18"/>
                <w:color w:val="auto"/>
              </w:rPr>
            </w:pPr>
          </w:p>
        </w:tc>
      </w:tr>
      <w:tr>
        <w:trPr>
          <w:trHeight w:val="207"/>
        </w:trPr>
        <w:tc>
          <w:tcPr>
            <w:tcW w:w="600" w:type="dxa"/>
            <w:vAlign w:val="bottom"/>
          </w:tcPr>
          <w:p>
            <w:pPr>
              <w:spacing w:after="0"/>
              <w:rPr>
                <w:sz w:val="17"/>
                <w:szCs w:val="17"/>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the end of the year</w:t>
            </w: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13,343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164,583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1"/>
        </w:trPr>
        <w:tc>
          <w:tcPr>
            <w:tcW w:w="60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2"/>
          </w:tcPr>
          <w:p>
            <w:pPr>
              <w:ind w:left="4860"/>
              <w:spacing w:after="0"/>
              <w:rPr>
                <w:sz w:val="20"/>
                <w:szCs w:val="20"/>
                <w:color w:val="auto"/>
              </w:rPr>
            </w:pPr>
            <w:r>
              <w:rPr>
                <w:rFonts w:ascii="Times New Roman" w:cs="Times New Roman" w:eastAsia="Times New Roman" w:hAnsi="Times New Roman"/>
                <w:sz w:val="17"/>
                <w:szCs w:val="17"/>
                <w:color w:val="auto"/>
              </w:rPr>
              <w:t>F-55</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4"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SHAREHOLDER VOTING POWER ENTRUSTMENT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Amended and Restated Shareholder Voting Power Entrustment Agreement (this “Agreement”) is made and entered into as of [____] [____], [____] by and among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parties:</w:t>
      </w:r>
    </w:p>
    <w:p>
      <w:pPr>
        <w:spacing w:after="0" w:line="192" w:lineRule="exact"/>
        <w:rPr>
          <w:sz w:val="20"/>
          <w:szCs w:val="20"/>
          <w:color w:val="auto"/>
        </w:rPr>
      </w:pPr>
    </w:p>
    <w:p>
      <w:pPr>
        <w:ind w:left="160" w:hanging="159"/>
        <w:spacing w:after="0"/>
        <w:tabs>
          <w:tab w:leader="none" w:pos="16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shareholder listed in Annex 1 (individually and collectively referred to as the “Shareholders”);</w:t>
      </w:r>
    </w:p>
    <w:p>
      <w:pPr>
        <w:spacing w:after="0" w:line="20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Lequan Technology (Beijing) Co., Ltd. (the “Wholly-owned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Room 106, Bungalow 26, South of Xindu East Station, East of Xisanqi, Qinghe West, Haidian District, Beijing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Representative: Chen Xiaoping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Beijing Viomi Technology Co., Ltd.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Middle Section, 2nd Floor, Tower A, Building 3, No.9 Yongfeng Road, Haidian District, Beijing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Representative: Chen Xiaoping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above parties is hereinafter referred to as a “Party” and collectively referred to as the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w:t>
      </w:r>
    </w:p>
    <w:p>
      <w:pPr>
        <w:spacing w:after="0" w:line="208" w:lineRule="exact"/>
        <w:rPr>
          <w:sz w:val="20"/>
          <w:szCs w:val="20"/>
          <w:color w:val="auto"/>
        </w:rPr>
      </w:pPr>
    </w:p>
    <w:p>
      <w:pPr>
        <w:ind w:left="160" w:hanging="159"/>
        <w:spacing w:after="0"/>
        <w:tabs>
          <w:tab w:leader="none" w:pos="16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are the currently registered shareholders of the Company and hold 100% of the equity interests of the Company;</w:t>
      </w:r>
    </w:p>
    <w:p>
      <w:pPr>
        <w:spacing w:after="0" w:line="207" w:lineRule="exact"/>
        <w:rPr>
          <w:rFonts w:ascii="Times New Roman" w:cs="Times New Roman" w:eastAsia="Times New Roman" w:hAnsi="Times New Roman"/>
          <w:sz w:val="17"/>
          <w:szCs w:val="17"/>
          <w:color w:val="auto"/>
        </w:rPr>
      </w:pPr>
    </w:p>
    <w:p>
      <w:pPr>
        <w:jc w:val="both"/>
        <w:ind w:firstLine="1"/>
        <w:spacing w:after="0" w:line="261" w:lineRule="auto"/>
        <w:tabs>
          <w:tab w:leader="none" w:pos="202"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21, 2015, Chen Xiaoping, Liu De, Cao Liping, the Wholly-owned Company and the Company signed the Shareholder Voting Power Entrustment Agreement (the “Original Agreement”). Since the equity structure of the Company has changed after the execution of the Original Agreement, the Parties hereto agree to sign this Agreement based on the changed equity structure of the Company to restate the Original Agreement;</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169"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to sign the Amended and Restated Equity Pledge Agreement (the “Equity Pledge Agreement”) and the Amended and Restated Exclusive Option Agreement (the “Exclusive Option Agreement”) on the same date as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6" w:name="page197"/>
    <w:bookmarkEnd w:id="196"/>
    <w:p>
      <w:pPr>
        <w:ind w:firstLine="1"/>
        <w:spacing w:after="0" w:line="274" w:lineRule="auto"/>
        <w:tabs>
          <w:tab w:leader="none" w:pos="178"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intend to respectively entrust individuals designated by the Wholly-owned Company to exercise all shareholder voting rights they enjoy in the Company, and the Wholly-owned Company intends to designate individuals to accept such entrustment.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friendly negotiation, the Parties hereby agree as follows: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 Voting Power Entrustment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1.1 The Shareholders hereby irrevocably authorize the person designated by the Wholly-owned Company from time to time (the “Trustee”) to exercise on their behalf the following rights they enjoy as shareholders of the Company pursuant to the articles of association of the Company then in effect (collectively referred to as the “Entrusted Rights”):</w:t>
      </w:r>
    </w:p>
    <w:p>
      <w:pPr>
        <w:spacing w:after="0" w:line="169" w:lineRule="exact"/>
        <w:rPr>
          <w:sz w:val="20"/>
          <w:szCs w:val="20"/>
          <w:color w:val="auto"/>
        </w:rPr>
      </w:pPr>
    </w:p>
    <w:p>
      <w:pPr>
        <w:ind w:firstLine="1"/>
        <w:spacing w:after="0" w:line="274" w:lineRule="auto"/>
        <w:tabs>
          <w:tab w:leader="none" w:pos="23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the agent of the Shareholders, propose to convene and attend the shareholders’ meetings of the Company in accordance with the articles of association of the Company;</w:t>
      </w:r>
    </w:p>
    <w:p>
      <w:pPr>
        <w:spacing w:after="0" w:line="158" w:lineRule="exact"/>
        <w:rPr>
          <w:rFonts w:ascii="Times New Roman" w:cs="Times New Roman" w:eastAsia="Times New Roman" w:hAnsi="Times New Roman"/>
          <w:sz w:val="17"/>
          <w:szCs w:val="17"/>
          <w:color w:val="auto"/>
        </w:rPr>
      </w:pPr>
    </w:p>
    <w:p>
      <w:pPr>
        <w:jc w:val="both"/>
        <w:ind w:firstLine="1"/>
        <w:spacing w:after="0" w:line="261" w:lineRule="auto"/>
        <w:tabs>
          <w:tab w:leader="none" w:pos="24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voting rights on all matters requiring discussion and resolution by the shareholders’ meeting on behalf of the Shareholders, including but not limited to appointing and electing directors of the Company and other senior managers appointed and removed by shareholders, selling or transferring all or part of the equity interests of the Shareholders in the Company;</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246"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shareholder voting rights under the articles of association of the Company (including any other shareholder voting rights stipulated after the amendment of such articles of association).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1.2 The Trustee shall perform the entrusted obligations prudently and diligently in accordance with the law within the scope of authorization specified in this Agreement; the Shareholders hereby recognize and bear corresponding legal liabilities for any legal consequences arising from the exercise of the above Entrusted Rights by the Trustee.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 The Shareholders hereby confirm that the Trustee does not need to obtain the prior consent of the Shareholders when exercising the above Entrusted Rights.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after any resolution or proposal to convene an extraordinary shareholders’ meeting is made, the Trustee shall promptly inform the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2 Right to Information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2.1 For the purpose of exercising the Entrusted Rights under this Agreement, the Trustee shall have the right to understand various relevant information of the Company including operation, business, customers, finance, employees, etc., and inspect relevant materials of the Company, and the Company shall provide full cooperation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color w:val="auto"/>
        </w:rPr>
        <w:t>Article 3 Exercise of Entrusted Rights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3.1 The Shareholders shall provide full assistance for the Trustee to exercise the Entrusted Rights, including timely signing the shareholders’ resolutions or other relevant legal documents already made by the Trustee when necessary (e.g., to meet the requirements of submitting documents for approval, registration and filing by government departments).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3.2 If at any time during the term of this Agreement, the grant or exercise of the Entrusted Rights under this Agreement cannot be realized for any reason (except for breach of contract by the Shareholders or the Company), the Parties shall immediately seek an alternative plan closest to the unrealizable provisions, and sign supplementary agreements to modify or adjust the terms of this Agreement when necessary to ensure that the purpose of this Agreement can continue to be realized.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4 Exemption and Indemnification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4.1 The Parties confirm that under no circumstances shall the Wholly-owned Company be required to bear any liability or make any economic or other compensation to other Parties or any third party for the exercise of the Entrusted Rights under this Agreement by the individuals designated by it.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4.2 The Shareholders and the Company agree to indemnify the Wholly-owned Company against all losses suffered or may be suffered by it due to the designation of the Trustee to exercise the Entrusted Rights and keep it harmless, including but not limited to any losses arising from any litigation, recovery, arbitration, claim filed by any third party against it or administrative investigation and punishment by government authorities. However, losses caused by the intentional or gross negligence of the Trustee shall not be covered by such indemnification.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5 Representations and Warranties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 Each Shareholder hereby individually represents and warrants as follows: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5.1.1 It has full and independent legal status and legal capacity, has obtained proper authorization to sign, deliver and perform this Agreement, and may independently act as a party to litigation.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5.1.2 It has full power and authority to sign and deliver this Agreement and all other documents related to the transactions described herein that it will sign, and has full power and authority to complete the transactions described herein. This Agreement has been legally and properly signed and delivered by it. This Agreement constitutes its legal and binding obligation and may be enforced against it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98" w:name="page199"/>
    <w:bookmarkEnd w:id="198"/>
    <w:p>
      <w:pPr>
        <w:jc w:val="both"/>
        <w:spacing w:after="0" w:line="256" w:lineRule="auto"/>
        <w:rPr>
          <w:sz w:val="20"/>
          <w:szCs w:val="20"/>
          <w:color w:val="auto"/>
        </w:rPr>
      </w:pPr>
      <w:r>
        <w:rPr>
          <w:rFonts w:ascii="Times New Roman" w:cs="Times New Roman" w:eastAsia="Times New Roman" w:hAnsi="Times New Roman"/>
          <w:sz w:val="17"/>
          <w:szCs w:val="17"/>
          <w:color w:val="auto"/>
        </w:rPr>
        <w:t>5.1.3 It is the registered and legal shareholder of the Company when this Agreement takes effect. Except for the rights set forth in this Agreement, the Equity Pledge Agreement and the Exclusive Option Agreement signed by the Shareholders, the Company and the Wholly-owned Company, there are no third-party rights on the Entrusted Rights. Pursuant to this Agreement, the Trustee may fully and adequately exercise the Entrusted Rights in accordance with the articles of association of the Company then in effect.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 The Wholly-owned Company and the Company hereby individually represent and warrant as follows: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5.2.1 It is a limited liability company duly registered and legally existing under the laws of its place of registration, with independent legal person status; it has full and independent legal status and legal capacity to sign, deliver and perform this Agreement, and may independently act as a party to litigation.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5.2.2 It has full internal corporate power and authority to sign and deliver this Agreement and all other documents related to the transactions described herein that it will sign, and has full power and authority to complete the transactions described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 The Company further represents and warrants as follows: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5.3.1 The Shareholders are the registered and legal shareholders of the Company when this Agreement takes effect. Except for the rights set forth in this Agreement, the Equity Pledge Agreement and the Exclusive Option Agreement signed by the Shareholders, the Company and the Wholly-owned Company, there are no third-party rights on the Entrusted Rights. Pursuant to this Agreement, the Trustee may fully and adequately exercise the Entrusted Rights in accordance with the articles of association of the Company then in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6 Term of Agreement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6.1 This Agreement shall take effect on the date of formal signature by the Parties; this Agreement shall remain in effect unless the Parties agree to terminate it in writing in advance.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6.2 If any Party among the Shareholders transfers all its equity interests in the Company with the prior consent of the Wholly-owned Company, such Party shall no longer be a party hereto, but the obligations and commitments of other Parties under this Agreement shall not be adversely affected thereby.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7 Notices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 Any notice, request, demand and other communications required by or made pursuant to this Agreement shall be delivered to the relevant Party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9" w:name="page200"/>
    <w:bookmarkEnd w:id="199"/>
    <w:p>
      <w:pPr>
        <w:jc w:val="both"/>
        <w:spacing w:after="0" w:line="274" w:lineRule="auto"/>
        <w:rPr>
          <w:sz w:val="20"/>
          <w:szCs w:val="20"/>
          <w:color w:val="auto"/>
        </w:rPr>
      </w:pPr>
      <w:r>
        <w:rPr>
          <w:rFonts w:ascii="Times New Roman" w:cs="Times New Roman" w:eastAsia="Times New Roman" w:hAnsi="Times New Roman"/>
          <w:sz w:val="17"/>
          <w:szCs w:val="17"/>
          <w:color w:val="auto"/>
        </w:rPr>
        <w:t>7.2 The above notices or other communications shall be deemed served upon dispatch if sent by fax or telex; if delivered in person, upon personal delivery; if sent by mail, five (5) days after posting.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8 Confidentiality Obligations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8.1 Regardless of whether this Agreement has been terminated, the Parties shall keep strictly confidential all confidential information, proprietary information, customer information and other information of a confidential nature obtained by them in the course of concluding and performing this Agreement (collectively referred to as “Confidential Information”). Except with the prior written consent of the disclosing Party of the Confidential Information or as required by relevant laws and regulations or the listing place of a Party’s affiliated company, the receiving Party of the Confidential Information shall not disclose any Confidential Information to any other third party; the receiving Party of the Confidential Information shall not use or indirectly use any Confidential Information except for the purpose of performing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 The following information shall not constitute Confidential Information:</w:t>
      </w:r>
    </w:p>
    <w:p>
      <w:pPr>
        <w:spacing w:after="0" w:line="208" w:lineRule="exact"/>
        <w:rPr>
          <w:sz w:val="20"/>
          <w:szCs w:val="20"/>
          <w:color w:val="auto"/>
        </w:rPr>
      </w:pPr>
    </w:p>
    <w:p>
      <w:pPr>
        <w:ind w:left="220" w:hanging="219"/>
        <w:spacing w:after="0"/>
        <w:tabs>
          <w:tab w:leader="none" w:pos="22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information that the receiving Party has previously lawfully obtained with written evidence;</w:t>
      </w:r>
    </w:p>
    <w:p>
      <w:pPr>
        <w:spacing w:after="0" w:line="207"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that enters the public domain not due to the fault of the receiving Party; or</w:t>
      </w:r>
    </w:p>
    <w:p>
      <w:pPr>
        <w:spacing w:after="0" w:line="207" w:lineRule="exact"/>
        <w:rPr>
          <w:rFonts w:ascii="Times New Roman" w:cs="Times New Roman" w:eastAsia="Times New Roman" w:hAnsi="Times New Roman"/>
          <w:sz w:val="17"/>
          <w:szCs w:val="17"/>
          <w:color w:val="auto"/>
        </w:rPr>
      </w:pPr>
    </w:p>
    <w:p>
      <w:pPr>
        <w:ind w:left="220" w:hanging="219"/>
        <w:spacing w:after="0"/>
        <w:tabs>
          <w:tab w:leader="none" w:pos="22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lawfully obtained by the receiving Party from other sources after receiving the information.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8.3 The receiving Party may disclose Confidential Information to its relevant employees, agents or professional advisors engaged by it, provided that the receiving Party shall ensure that such persons comply with the relevant terms and conditions of this Agreement and bear any liability arising from the breach of such terms and conditions by such persons.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8.4 Notwithstanding other provisions of this Agreement, the validity of the provisions of this Article shall not be affected by the termination of this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9 Liability for Breach of Agreement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9.1 The Parties agree and confirm that if any Party (the “Breaching Party”) materially breaches any agreement made under this Agreement, or materially fails to perform or delays performing any obligation under this Agreement, it shall constitute a breach of this Agreement (the “Breach”). Any other non-breaching Party (the “Non-breaching Party”) shall have the right to require the Breaching Party to remedy or take remedial measures within a reasonable period. If the Breaching Party fails to remedy or take remedial measures within a reasonable period or within ten (10) days after the other Party sends a written notice to the Breaching Party and requests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0" w:name="page201"/>
    <w:bookmarkEnd w:id="200"/>
    <w:p>
      <w:pPr>
        <w:jc w:val="both"/>
        <w:spacing w:after="0" w:line="274" w:lineRule="auto"/>
        <w:rPr>
          <w:sz w:val="20"/>
          <w:szCs w:val="20"/>
          <w:color w:val="auto"/>
        </w:rPr>
      </w:pPr>
      <w:r>
        <w:rPr>
          <w:rFonts w:ascii="Times New Roman" w:cs="Times New Roman" w:eastAsia="Times New Roman" w:hAnsi="Times New Roman"/>
          <w:sz w:val="17"/>
          <w:szCs w:val="17"/>
          <w:color w:val="auto"/>
        </w:rPr>
        <w:t>9.1.1 If any Shareholder or the Company is the Breaching Party, the Wholly-owned Company shall have the right to terminate this Agreement and claim damages from the Breaching Party;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9.1.2 If the Wholly-owned Company is the Breaching Party, the Non-breaching Party shall have the right to claim damages from the Breaching Party, but unless otherwise provided by law, it shall not have any right to terminate or rescind this Agreement under any circumstances.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9.2 Notwithstanding other provisions of this Agreement, the validity of the provisions of this Article shall not be affected by the suspension or termination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10 Miscellaneous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 This Agreement is made in Chinese in four (4) original copies, each Party hereto holding one (1) copy.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10.2 The conclusion, effectiveness, performance, modification, interpretation and termination of this Agreement shall be governed by the laws of the People’s Republic of China.</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10.3 Any dispute arising out of or in connection with this Agreement shall be resolved by the Parties through negotiation. If the Parties fail to reach an agreement within thirty (30) days after the dispute arises, any Party may submit the relevant dispute to the China International Economic and Trade Arbitration Commission for arbitration in accordance with its arbitration rules then in effect. The arbitration shall take place in Beijing and the arbitration language shall be Chinese. The arbitral award shall be final and binding on all Parties hereto.</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10.4 Any rights, powers and remedies granted to the Parties by any clause of this Agreement shall not exclude any other rights, powers or remedies enjoyed by such Party in accordance with the provisions of law and other clauses of this Agreement, and the exercise of any rights, powers and remedies by a Party shall not exclude the exercise of other rights, powers and remedies enjoyed by it.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10.5 A Party’s failure or delay in exercising any rights, powers and remedies it enjoys under this Agreement or by law (the “Such Rights”) shall not constitute a waiver of such Rights, and the waiver of any single or part of such Rights by a Party shall not exclude the exercise of such Rights by other means and the exercise of other Rights of such Party.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10.6 The headings of each article of this Agreement are for convenience of reference only and shall not be used or affect the interpretation of the provisions of this Agreement under any circumstances.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10.7 Each clause of this Agreement is severable and independent of every other clause. If any clause or clauses of this Agreement become invalid, illegal or unenforceable at any time, the validity, legality and enforceability of the other clauses of this Agreement shall not be affected thereby.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 Any modification or supplement to this Agreement must be made in writing and shall take effect after being duly signed by all Parties hereto.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 No Party may assign any of its rights and/or obligations under this Agreement to any third party without the prior written consent of other Parties.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10.10 This Agreement supersedes any other written or oral agreements reached by the Parties previously in connection with the matters stipulated herein, including but not limited to the Original Agreement, and constitutes the entire agreement between the Parties.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10.11 This Agreement shall be binding on the legal successors of the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text below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THE AMENDED AND RESTATED SHAREHOLDER VOTING POWER ENTRUSTMENT AGREEMENT</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WITNESS WHEREOF, this Amended and Restated Shareholder Voting Power Entrustment Agreement has been signed by the Parties on the date first written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Chen Xiaoping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wp:posOffset>
            </wp:positionV>
            <wp:extent cx="31705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31705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278765</wp:posOffset>
            </wp:positionV>
            <wp:extent cx="71412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THE AMENDED AND RESTATED SHAREHOLDER VOTING POWER ENTRUSTMENT AGREEMENT</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WITNESS WHEREOF, this Amended and Restated Shareholder Voting Power Entrustment Agreement has been signed by the Parties on the date first written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Zhuhai Yungui Enterprise Management Consulting Partnership (Limited Partnership) (Seal)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Executive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THE AMENDED AND RESTATED SHAREHOLDER VOTING POWER ENTRUSTMENT AGREEMENT</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WITNESS WHEREOF, this Amended and Restated Shareholder Voting Power Entrustment Agreement has been signed by the Parties on the date first written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Lequan Technology (Beijing) Co., Ltd. (Seal)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Legal Representative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Viomi Technology Co., Ltd. (Seal)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color w:val="auto"/>
        </w:rPr>
        <w:t>Annex 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Information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Name: Beijing Viomi Technology Co., Ltd.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Middle Section, 2nd Floor, Tower A, Building 3, No.9 Yongfeng Road, Haidian District, Beijing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Registered Capital: RMB 1,000,000</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03"/>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Legal Representative: Chen Xiaoping</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Contribution</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2"/>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Shareholder Name</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(CNY)</w:t>
            </w: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Ratio</w:t>
            </w:r>
          </w:p>
        </w:tc>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ID No./Unified Credit Code</w:t>
            </w:r>
          </w:p>
        </w:tc>
        <w:tc>
          <w:tcPr>
            <w:tcW w:w="132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33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Chen Xiaoping</w:t>
            </w:r>
          </w:p>
        </w:tc>
        <w:tc>
          <w:tcPr>
            <w:tcW w:w="220" w:type="dxa"/>
            <w:vAlign w:val="bottom"/>
          </w:tcPr>
          <w:p>
            <w:pPr>
              <w:spacing w:after="0"/>
              <w:rPr>
                <w:sz w:val="15"/>
                <w:szCs w:val="15"/>
                <w:color w:val="auto"/>
              </w:rPr>
            </w:pPr>
          </w:p>
        </w:tc>
        <w:tc>
          <w:tcPr>
            <w:tcW w:w="13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990,000</w:t>
            </w: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99%</w:t>
            </w:r>
          </w:p>
        </w:tc>
        <w:tc>
          <w:tcPr>
            <w:tcW w:w="200" w:type="dxa"/>
            <w:vAlign w:val="bottom"/>
          </w:tcPr>
          <w:p>
            <w:pPr>
              <w:spacing w:after="0"/>
              <w:rPr>
                <w:sz w:val="15"/>
                <w:szCs w:val="15"/>
                <w:color w:val="auto"/>
              </w:rPr>
            </w:pPr>
          </w:p>
        </w:tc>
        <w:tc>
          <w:tcPr>
            <w:tcW w:w="33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5"/>
                <w:szCs w:val="15"/>
                <w:color w:val="auto"/>
              </w:rPr>
            </w:pPr>
          </w:p>
        </w:tc>
      </w:tr>
      <w:tr>
        <w:trPr>
          <w:trHeight w:val="202"/>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Zhuhai Yungui Enterprise Management</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91440300MA5FRBGX9W</w:t>
            </w:r>
          </w:p>
        </w:tc>
        <w:tc>
          <w:tcPr>
            <w:tcW w:w="1320" w:type="dxa"/>
            <w:vAlign w:val="bottom"/>
          </w:tcPr>
          <w:p>
            <w:pPr>
              <w:spacing w:after="0"/>
              <w:rPr>
                <w:sz w:val="17"/>
                <w:szCs w:val="17"/>
                <w:color w:val="auto"/>
              </w:rPr>
            </w:pPr>
          </w:p>
        </w:tc>
      </w:tr>
      <w:tr>
        <w:trPr>
          <w:trHeight w:val="202"/>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Consulting Partnership (LP)</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8"/>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1,000,000</w:t>
            </w:r>
          </w:p>
        </w:tc>
        <w:tc>
          <w:tcPr>
            <w:tcW w:w="24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spacing w:after="0"/>
              <w:rPr>
                <w:sz w:val="18"/>
                <w:szCs w:val="18"/>
                <w:color w:val="auto"/>
              </w:rPr>
            </w:pPr>
          </w:p>
        </w:tc>
      </w:tr>
      <w:tr>
        <w:trPr>
          <w:trHeight w:val="404"/>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7"/>
          <w:szCs w:val="17"/>
          <w:b w:val="1"/>
          <w:bCs w:val="1"/>
          <w:color w:val="auto"/>
        </w:rPr>
        <w:t>Exhibit 4.8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EQUITY PLEDGE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Amended and Restated Equity Pledge Agreement (this “Agreement”) is dated as of _______ __, ______ by and among the following parties:</w:t>
      </w:r>
    </w:p>
    <w:p>
      <w:pPr>
        <w:spacing w:after="0" w:line="208" w:lineRule="exact"/>
        <w:rPr>
          <w:sz w:val="20"/>
          <w:szCs w:val="20"/>
          <w:color w:val="auto"/>
        </w:rPr>
      </w:pPr>
    </w:p>
    <w:p>
      <w:pPr>
        <w:ind w:left="160" w:hanging="159"/>
        <w:spacing w:after="0"/>
        <w:tabs>
          <w:tab w:leader="none" w:pos="16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shareholder listed in Annex 1 (individually and collectively, the “Pledgors”);</w:t>
      </w:r>
    </w:p>
    <w:p>
      <w:pPr>
        <w:spacing w:after="0" w:line="20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Lequan Technology (Beijing) Co., Ltd. (the “Pledgee”)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106 Pingfang, 26th Building, South of Xindu East Station, East of Sanqi, Qinghe West, Haidian District, Beijing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Representative: Chen Xiaoping;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Beijing Viomi Technology Co., Ltd.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Middle Section, 2nd Floor, Building A, 3rd Building, No.9 Yongfeng Road, Haidian District, Beijing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Representative: Chen Xiaoping.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above is referred to as a “Party” and collectively as the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w:t>
      </w:r>
    </w:p>
    <w:p>
      <w:pPr>
        <w:spacing w:after="0" w:line="208" w:lineRule="exact"/>
        <w:rPr>
          <w:sz w:val="20"/>
          <w:szCs w:val="20"/>
          <w:color w:val="auto"/>
        </w:rPr>
      </w:pPr>
    </w:p>
    <w:p>
      <w:pPr>
        <w:ind w:firstLine="1"/>
        <w:spacing w:after="0" w:line="274" w:lineRule="auto"/>
        <w:tabs>
          <w:tab w:leader="none" w:pos="244"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Pledgors are registered shareholders of the Company and lawfully own all equity interests in the Company (the “Company Equity Interests”). As of the date hereof, their capital contributions and shareholding percentages in the Company’s registered capital are set forth in Annex 1.</w:t>
      </w:r>
    </w:p>
    <w:p>
      <w:pPr>
        <w:spacing w:after="0" w:line="158" w:lineRule="exact"/>
        <w:rPr>
          <w:rFonts w:ascii="Times New Roman" w:cs="Times New Roman" w:eastAsia="Times New Roman" w:hAnsi="Times New Roman"/>
          <w:sz w:val="17"/>
          <w:szCs w:val="17"/>
          <w:color w:val="auto"/>
        </w:rPr>
      </w:pPr>
    </w:p>
    <w:p>
      <w:pPr>
        <w:jc w:val="both"/>
        <w:ind w:firstLine="1"/>
        <w:spacing w:after="0" w:line="261" w:lineRule="auto"/>
        <w:tabs>
          <w:tab w:leader="none" w:pos="256"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21, 2015, Chen Xiaoping, Liu De, Cao Liping, a wholly-owned enterprise and the Company entered into an Equity Pledge Agreement (the “Original Agreement”). After the execution of the Original Agreement, the Company’s equity structure changed. The Parties agree to enter into this Agreement to restate the Original Agreement based on the updated equity structure.</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6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Amended and Restated Exclusive Option Agreement (the “Exclusive Option Agreement”) dated _______ __, ______ among the Parties, the Pledgors or the Company shall, to the extent permitted by PRC law and at the request of the Pledgee, transfer all or part of their equity interests in the Company or all or part of the assets of the Company to the Pledgee and/or any other entity or individual designated by the Pledgee.</w:t>
      </w:r>
    </w:p>
    <w:p>
      <w:pPr>
        <w:spacing w:after="0" w:line="169"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Amended and Restated Shareholder Voting Rights Entrustment Agreement (the “Voting Rights Entrustment Agreement”) dated _______ __,</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 among the Parties, the Pledgors have irrevocably and fully entrusted the Pledgee to exercise all shareholder voting rights in the Company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6" w:name="page207"/>
    <w:bookmarkEnd w:id="206"/>
    <w:p>
      <w:pPr>
        <w:jc w:val="both"/>
        <w:ind w:firstLine="1"/>
        <w:spacing w:after="0" w:line="261" w:lineRule="auto"/>
        <w:tabs>
          <w:tab w:leader="none" w:pos="248"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Exclusive Consulting and Service Agreement (the “Consulting Service Agreement”) dated July 21, 2015 between the Company and the Pledgee, the Company has exclusively engaged the Pledgee to provide relevant consulting services and agreed to pay corresponding service fees to the Pledgee for such services.</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34"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security for the performance of the Contractual Obligations (defined below) and the repayment of the Secured Obligations (defined below), the Pledgors agree to pledge all their Company Equity Interests to the Pledgee, granting the Pledgee a first-priority security interest, and the Company consents to such equity pledge arrangement.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the Parties hereto agree as follows: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 Definitions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 Unless the context otherwise requires, the following terms in this Agreement shall have the meanings set forth below: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“Contractual Obligations” means all contractual obligations of the Pledgors under the Exclusive Option Agreement and the Voting Rights Entrustment Agreement; all contractual obligations of the Company under the Exclusive Option Agreement, the Voting Rights Entrustment Agreement and the Consulting Service Agreement; and all contractual obligations of the Pledgors and the Company under this Agreement.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“Secured Obligations” means all direct, indirect, consequential losses and loss of anticipated profits suffered by the Pledgee due to any Default Event (defined below) of the Pledgors and/or the Company, based on factors including without limitation the Pledgee’s reasonable business plans and profit projections; and all expenses incurred by the Pledgee to enforce the performance of the Contractual Obligations by the Pledgors and/or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Agreements” means the Exclusive Option Agreement, the Voting Rights Entrustment Agreement and the Consulting Service Agreement.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“Default Event” means any breach by any Pledgor of any of its Contractual Obligations under the Exclusive Option Agreement, the Voting Rights Entrustment Agreement and/or this Agreement, and any breach by the Company of any of its Contractual Obligations under the Exclusive Option Agreement, the Voting Rights Entrustment Agreement, the Consulting Service Agreement and/or this Agreement.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“Pledged Equity Interests” means all Company Equity Interests lawfully owned by the Pledgors upon the effectiveness of this Agreement and pledged to the Pledgee pursuant to this Agreement as security for the performance of the Contractual Obligations by the Pledgors and the Company (the specific Pledged Equity Interests of each Pledgor are set forth in Annex 1), as well as increased capital contributions and dividends described in Articles 2.6 and 2.7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7" w:name="page208"/>
    <w:bookmarkEnd w:id="207"/>
    <w:p>
      <w:pPr>
        <w:jc w:val="both"/>
        <w:spacing w:after="0" w:line="274" w:lineRule="auto"/>
        <w:rPr>
          <w:sz w:val="20"/>
          <w:szCs w:val="20"/>
          <w:color w:val="auto"/>
        </w:rPr>
      </w:pPr>
      <w:r>
        <w:rPr>
          <w:rFonts w:ascii="Times New Roman" w:cs="Times New Roman" w:eastAsia="Times New Roman" w:hAnsi="Times New Roman"/>
          <w:sz w:val="17"/>
          <w:szCs w:val="17"/>
          <w:color w:val="auto"/>
        </w:rPr>
        <w:t>“PRC Law” means the laws, administrative regulations, ministerial rules, local regulations, judicial interpretations and other binding normative legal documents of the People’s Republic of China in effect from time to time.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1.2 Any reference to any PRC Law in this Agreement shall be deemed (1) to include any amendment, modification, supplement or re-enactment of such PRC Law, regardless of whether it takes effect before or after the execution of this Agreement; and (2) to include any other decisions, notices and rules issued pursuant thereto or becoming effective in connection therewith.</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1.3 Unless the context otherwise requires, references to Articles, Sections, Items and paragraphs in this Agreement are to the corresponding provisions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2 Equity Pledge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2.1 The Pledgors hereby agree to pledge the Pledged Equity Interests lawfully owned and disposed of by them to the Pledgee as security for the repayment of the Secured Obligations. The Company hereby consents to the pledge of the Pledged Equity Interests by the Pledgors to the Pledgee in accordance with this Agreement. As of the date hereof: Chen Xiaoping pledges 99% of the registered capital of the Company (equivalent to RMB 990,000 of capital contribution); Zhuhai Yungui Enterprise Management Consulting Partnership (Limited Partnership) pledges 1% of the registered capital of the Company (equivalent to RMB 10,000 of capital contribution).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2.2 Unless otherwise agreed by the Parties, the Pledgors undertake to complete the registration of the equity pledge under this Agreement (the “Equity Pledge”) with the company registration authority of the Company within an appropriate time after the execution of this Agreement. The Company undertakes to use its best efforts to cooperate with the Pledgors to complete such industrial and commercial registration. The Equity Pledge under this Agreement shall be established upon completion of the pledge registration with the company registration authority of the Company.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2.3 During the term of this Agreement, the Pledgee shall not be liable for any reduction in the value of the Pledged Equity Interests unless caused by the Pledgee’s willful misconduct or gross negligence directly causing such result, and the Pledgors shall not have the right to recourse against or make any claim against the Pledgee in any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8" w:name="page209"/>
    <w:bookmarkEnd w:id="208"/>
    <w:p>
      <w:pPr>
        <w:jc w:val="both"/>
        <w:spacing w:after="0" w:line="256" w:lineRule="auto"/>
        <w:rPr>
          <w:sz w:val="20"/>
          <w:szCs w:val="20"/>
          <w:color w:val="auto"/>
        </w:rPr>
      </w:pPr>
      <w:r>
        <w:rPr>
          <w:rFonts w:ascii="Times New Roman" w:cs="Times New Roman" w:eastAsia="Times New Roman" w:hAnsi="Times New Roman"/>
          <w:sz w:val="17"/>
          <w:szCs w:val="17"/>
          <w:color w:val="auto"/>
        </w:rPr>
        <w:t>2.4 Subject to Article 2.3 above, if the Pledged Equity Interests are materially likely to decrease in value sufficiently to prejudice the rights of the Pledgee, the Pledgee may, on behalf of the Pledgors, auction or sell the Pledged Equity Interests at any time, and agree with the Pledgors to use the proceeds from such auction or sale to prepay the Secured Obligations or deposit them with the notary public in the place where the Pledgee is located (all expenses incurred therefrom shall be borne by the Pledgee). In addition, at the request of the Pledgee, the Pledgors shall provide other property as security for the Secured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Upon the occurrence of any Default Event, the Pledgee shall have the right to dispose of the Pledged Equity Interests in the manner set forth in Article 4 hereof.</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2.6 The Pledgors may increase capital to the Company only with the prior written consent of the Pledgee. Any increased capital contribution in the registered capital of the Company resulting from such capital increase by the Pledgors shall also constitute part of the Pledged Equity Interests.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 The Pledgors may receive dividends or distributions in respect of the Pledged Equity Interests only with the prior written consent of the Pledgee.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2.8 The Pledgee shall have the right to dispose of any Pledged Equity Interests of any Pledgor in accordance with this Agreement after the occurrence of a Default Event.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3 Release of Pledge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3.1 After the Pledgors and the Company have fully and completely performed all Contractual Obligations and repaid all Secured Obligations, the Pledgee shall, at the request of the Pledgors, release the Equity Pledge under this Agreement and cooperate with the Pledgors to complete the deregistration of the Equity Pledge. Reasonable expenses incurred in connection with the release of the Equity Pledge shall be borne by the Pledgee.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4 Disposal of Pledged Equity Interests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4.1 The Parties hereby agree that in the event of any Default Event, the Pledgee shall have the right, upon giving written notice to the Pledgors, to exercise all remedies and powers available to it under PRC Law, the Transaction Agreements and the terms of this Agreement, including without limitation auctioning or selling the Pledged Equity Interests for priority repayment. The Pledgee shall not be liable for any loss caused by its reasonable exercise of such rights and powers.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4.2 The Pledgee may appoint its lawyers or other agents in writing to exercise any and all of the above rights and powers, and the Pledgors or the Company shall not object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9" w:name="page210"/>
    <w:bookmarkEnd w:id="209"/>
    <w:p>
      <w:pPr>
        <w:jc w:val="both"/>
        <w:spacing w:after="0" w:line="274" w:lineRule="auto"/>
        <w:rPr>
          <w:sz w:val="20"/>
          <w:szCs w:val="20"/>
          <w:color w:val="auto"/>
        </w:rPr>
      </w:pPr>
      <w:r>
        <w:rPr>
          <w:rFonts w:ascii="Times New Roman" w:cs="Times New Roman" w:eastAsia="Times New Roman" w:hAnsi="Times New Roman"/>
          <w:sz w:val="17"/>
          <w:szCs w:val="17"/>
          <w:color w:val="auto"/>
        </w:rPr>
        <w:t>4.3 The Pledgee shall have the right to deduct all reasonable expenses incurred in exercising any or all of the above rights and powers from the proceeds obtained therefrom on an actual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 Proceeds obtained by the Pledgee from exercising its rights and powers shall be applied in the following order:</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First, payment of all expenses incurred in disposing of the Pledged Equity Interests and exercising the Pledgee’s rights and powers (including remuneration of its lawyers and agents);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Second, payment of taxes and duties payable in connection with the disposal of the Pledged Equity Interests; 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Third, repayment of the Secured Obligations to the Pledgee.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Any surplus after deducting the above amounts shall be returned by the Pledgee to the Pledgors or other persons entitled to such surplus under applicable laws and regulations, or deposited with the notary public in the place where the Pledgee is located (all expenses incurred therefrom shall be borne by the Pledgee).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4.5 The Pledgee may choose to exercise any remedies available to it simultaneously or successively, and the Pledgee need not exhaust other remedies before exercising its right to auction or sell the Pledged Equity Interests under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5 Fees and Expenses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5.1 All actual expenses related to the establishment of the Equity Pledge under this Agreement, including without limitation stamp duty, any other taxes and all legal fees, shall be borne by the respective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6 Continuity and Waiver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6.1 The Equity Pledge created under this Agreement is a continuing security and shall remain in effect until the Contractual Obligations have been fully performed or the Secured Obligations have been fully repaid. Any waiver, concession or delay by the Pledgee in exercising any right under the Transaction Agreements and this Agreement in respect of any default by the Pledgors shall not affect the right of the Pledgee to require strict performance of the Transaction Agreements and this Agreement by the Pledgors at any time thereafter or any right of the Pledgee arising from any subsequent breach of the Transaction Agreements and/or this Agreement by the Pledgors.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7 Representations and Warranties of the Pledgors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Pledgor severally represents and warrants to the Pledgee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 The Pledgor has full capacity to act and possesses the legal right and capacity to execute this Agreement and assume legal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10" w:name="page211"/>
    <w:bookmarkEnd w:id="210"/>
    <w:p>
      <w:pPr>
        <w:jc w:val="both"/>
        <w:spacing w:after="0" w:line="274" w:lineRule="auto"/>
        <w:rPr>
          <w:sz w:val="20"/>
          <w:szCs w:val="20"/>
          <w:color w:val="auto"/>
        </w:rPr>
      </w:pPr>
      <w:r>
        <w:rPr>
          <w:rFonts w:ascii="Times New Roman" w:cs="Times New Roman" w:eastAsia="Times New Roman" w:hAnsi="Times New Roman"/>
          <w:sz w:val="17"/>
          <w:szCs w:val="17"/>
          <w:color w:val="auto"/>
        </w:rPr>
        <w:t>7.2 All reports, documents and information provided by the Pledgor to the Pledgee prior to the effectiveness of this Agreement relating to the Pledgor and all matters required under this Agreement are true and correct in all material respects as of the effectiveness of this Agreement.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7.3 All reports, documents and information provided by the Pledgor to the Pledgee after the effectiveness of this Agreement relating to the Pledgor and all matters required under this Agreement are true and valid in all material respects as of the time of provision.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7.4 As of the effectiveness of this Agreement, the Pledgor is the sole legal owner of the Pledged Equity Interests and there are no existing disputes regarding ownership of the Pledged Equity Interests. The Pledgor has the right to dispose of the Pledged Equity Interests and any part thereof.</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7.5 Except for the security interest created under this Agreement and the rights created under the Transaction Agreements, there are no other security interests, third-party rights or other restrictions on the Pledged Equity Interests.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7.6 The Pledged Equity Interests are lawfully pledgeable and transferable, and the Pledgor has full right and authority to pledge the Pledged Equity Interests to the Pledgee in accordance with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7.7 This Agreement, when duly executed by the Pledgor, constitutes legal, valid and binding obligations of the Pledgor.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7.8 All third-party consents, approvals, waivers, authorizations or governmental approvals, permits, exemptions or registrations or filings with any governmental authority required for the execution and performance of this Agreement and the pledge of the Pledged Equity Interests hereunder (if required by law) have been obtained or completed and shall remain in full force and effect during the term of this Agreement.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7.9 The execution and performance of this Agreement by the Pledgor do not violate or conflict with any applicable laws, any agreement binding on the Pledgor or its assets, any court judgment, arbitral award or administrative decision.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7.10 The pledge under this Agreement constitutes a first-priority security interest in the Pledged Equity Interests.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7.11 All taxes and fees payable in connection with the acquisition of the Pledged Equity Interests have been paid in full by the Pledgor.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7.12 There are no pending or threatened actions, proceedings or claims against the Pledgor, its property or the Pledged Equity Interests in any court or arbitral tribunal, or in any governmental or administrative authority, that would materially and adversely affect the financial condition of the Pledgor or its ability to perform its obligations and security duties under this Agreement.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7.13 The Pledgor warrants to the Pledgee that the above representations and warranties shall be true and correct in all circumstances at all times until the Contractual Obligations have been fully performed or the Secured Obligations have been fully repaid, and shall be fully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1" w:name="page212"/>
    <w:bookmarkEnd w:id="211"/>
    <w:p>
      <w:pPr>
        <w:jc w:val="both"/>
        <w:spacing w:after="0" w:line="274" w:lineRule="auto"/>
        <w:rPr>
          <w:sz w:val="20"/>
          <w:szCs w:val="20"/>
          <w:color w:val="auto"/>
        </w:rPr>
      </w:pPr>
      <w:r>
        <w:rPr>
          <w:rFonts w:ascii="Times New Roman" w:cs="Times New Roman" w:eastAsia="Times New Roman" w:hAnsi="Times New Roman"/>
          <w:sz w:val="17"/>
          <w:szCs w:val="17"/>
          <w:color w:val="auto"/>
        </w:rPr>
        <w:t>7.14 If the Pledgor receives any dividends, distributions or other income from the Company during the term of this Agreement, it agrees to immediately gift such dividends, distributions or income unconditionally to the Pledgee or an entity/individual designated by the Pledgee.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7.15 If the Company is required to be dissolved or liquidated pursuant to mandatory provisions of applicable laws, any benefits distributed to the Pledgor from the Company upon completion of the legal dissolution or liquidation procedures shall be gifted to the Pledgee or an entity/individual designated by the Pledgee to the extent permitted by PRC law.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8 Representations and Warranties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represents and warrants to the Pledgee as follows: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8.1 The Company is a limited liability company duly registered and legally existing under PRC law with independent legal person status; it has full and independent legal status and capacity to execute, deliver and perform this Agreement and may independently be a party to litigation.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8.2 All reports, documents and information provided by the Company to the Pledgee prior to the effectiveness of this Agreement relating to the Pledged Equity Interests and all matters required under this Agreement are true and correct in all material respects as of the effectiveness of this Agreement.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8.3 All reports, documents and information provided by the Company to the Pledgee after the effectiveness of this Agreement relating to the Pledged Equity Interests and all matters required under this Agreement are true and valid in all material respects as of the time of provision.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8.4 This Agreement, when duly executed by the Company, constitutes legal, valid and binding obligations of the Company.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8.5 The Company has full internal corporate power and authority to execute and deliver this Agreement and all other documents related to the transactions contemplated herein to be executed by it, and has full power and authority to complete the transactions contemplated herein.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8.6 There are no pending or threatened actions, proceedings or claims against the Pledged Equity Interests, the Company or its assets in any court or arbitral tribunal, or in any governmental or administrative authority, that would materially and adversely affect the financial condition of the Company or the ability of the Pledgors to perform their obligations and security duties under this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8.7 The Company hereby agrees to be jointly and severally liable to the Pledgee for the representations and warranties made by each Pledgor under Articles 7.4, 7.5,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 7.8 and 7.10 hereof.</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8.8 The Company warrants to the Pledgee that the above representations and warranties shall be true and correct in all circumstances at all times until the Contractual Obligations have been fully performed or the Secured Obligations have been fully repaid, and shall be fully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2" w:name="page213"/>
    <w:bookmarkEnd w:id="212"/>
    <w:p>
      <w:pPr>
        <w:jc w:val="both"/>
        <w:spacing w:after="0" w:line="274" w:lineRule="auto"/>
        <w:rPr>
          <w:sz w:val="20"/>
          <w:szCs w:val="20"/>
          <w:color w:val="auto"/>
        </w:rPr>
      </w:pPr>
      <w:r>
        <w:rPr>
          <w:rFonts w:ascii="Times New Roman" w:cs="Times New Roman" w:eastAsia="Times New Roman" w:hAnsi="Times New Roman"/>
          <w:sz w:val="17"/>
          <w:szCs w:val="17"/>
          <w:color w:val="auto"/>
        </w:rPr>
        <w:t>8.9 If the Company is required to be dissolved or liquidated pursuant to mandatory provisions of PRC law, the assets of the Company shall be sold to the Pledgee or a qualified entity/individual designated by it at the lowest price permitted by PRC law then in effect, subject to compliance with PRC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9 Covenants of the Pledgors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Pledgor severally covenants to the Pledgee as follows: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9.1 Without the prior written consent of the Pledgee, the Pledgor shall not create or permit the creation of any new pledge or other security interest on the Pledged Equity Interests. Any pledge or other security interest created on the whole or part of the Pledged Equity Interests without the prior written consent of the Pledgee shall be null and void.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9.2 The Pledgor shall not transfer the Pledged Equity Interests without prior written notice to and prior written consent from the Pledgee, and any proposed transfer of the Pledged Equity Interests by the Pledgor shall be null and void. The proceeds from any transfer of the Pledged Equity Interests by the Pledgor shall first be used to prepay the Secured Obligations to the Pledgee or deposited with a third party agreed by the Pledgee.</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9.3 In the event of any legal action, arbitration or other claim that may materially adversely affect the interests of the Pledgor or the Pledgee under the Transaction Agreements and this Agreement or the Pledged Equity Interests, the Pledgor undertakes to promptly notify the Pledgee in writing and take all necessary measures to protect the Pledgee’s security interest in the Pledged Equity Interests as reasonably requested by the Pledgee.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9.4 The Pledgor shall not commit or permit any act or action that may materially adversely affect the interests of the Pledgee under the Transaction Agreements and this Agreement or the Pledged Equity Interests. Each Pledgor waives its right of first refusal when the Pledgee enforces the pledge.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9.5 The Pledgor undertakes to take all necessary measures and execute all necessary documents (including without limitation supplementary agreements to this Agreement) as reasonably requested by the Pledgee to ensure and perfect the Pledgee’s security interest in the Pledged Equity Interests and the exercise and realization thereof.</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9.6 If any transfer of the Pledged Equity Interests results from the enforcement of the pledge under this Agreement, the Pledgor undertakes to take all measures to effect such transfer.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9.7 The Pledgor shall ensure that the convening procedures, voting methods and contents of the shareholders’ meetings and board of directors meetings convened for the purpose of executing this Agreement, creating the pledge and enforcing the pledge do not violate laws, administrative regulations or the articles of association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9.8 The Pledgor shall not assign any of its rights or obligations under this Agreement without the prior consent of the Pledgee.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color w:val="auto"/>
        </w:rPr>
        <w:t>Article 10 Covenants of the Company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10.1 If any third-party consent, approval, waiver, authorization or governmental approval, permit, exemption or registration or filing with any governmental authority is required for the execution and performance of this Agreement and the pledge of the Pledged Equity Interests hereunder (if required by law), the Company shall use its best efforts to assist in obtaining and maintaining the same in full force and effect during the term of this Agreement.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10.2 Without the prior written consent of the Pledgee, the Company shall not assist or permit the Pledgors to create any new pledge or other security interest on the Pledged Equity Interests.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 Without the prior written consent of the Pledgee, the Company shall not assist or permit the Pledgors to transfer the Pledged Equity Interests.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10.4 In the event of any legal action, arbitration or other claim that may materially adversely affect the Company, the Pledged Equity Interests or the interests of the Pledgee under the Transaction Agreements and this Agreement, the Company undertakes to promptly notify the Pledgee in writing and take all necessary measures to protect the Pledgee’s security interest in the Pledged Equity Interests as reasonably requested by the Pledgee.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10.5 The Company shall not commit or permit any act or action that may materially adversely affect the interests of the Pledgee under the Transaction Agreements and this Agreement or the Pledged Equity Interests.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10.6 The Pledgors shall provide the Pledgee with quarterly financial statements of the Company for the previous calendar quarter, including without limitation balance sheet, income statement and cash flow statement, within the first month of each calendar quarter.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10.7 The Company undertakes to take all necessary measures and execute all necessary documents (including without limitation supplementary agreements to this Agreement) as reasonably requested by the Pledgee to ensure and perfect the Pledgee’s security interest in the Pledged Equity Interests and the exercise and realization thereof.</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10.8 If any transfer of the Pledged Equity Interests results from the enforcement of the pledge under this Agreement, the Company undertakes to take all measures to effect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color w:val="auto"/>
        </w:rPr>
        <w:t>Article 11 Change of Circumstances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11.1 In addition, and without prejudice to the other provisions of the Transaction Agreements and this Agreement, if at any time the Pledgee determines that maintaining the effectiveness of this Agreement and/or disposing of the Pledged Equity Interests in the manner provided herein has become illegal or conflicts with applicable PRC laws, regulations or rules due to the promulgation or change of any PRC laws, regulations or rules, or the change in the interpretation or application thereof, or the change in relevant registration procedures, the Pledgors and the Company shall immediately take any actions and/or execute any agreements or other documents in accordance with the written instructions of the Pledgee and as reasonably requested by the Pledgee to:</w:t>
      </w:r>
    </w:p>
    <w:p>
      <w:pPr>
        <w:spacing w:after="0" w:line="176" w:lineRule="exact"/>
        <w:rPr>
          <w:sz w:val="20"/>
          <w:szCs w:val="20"/>
          <w:color w:val="auto"/>
        </w:rPr>
      </w:pPr>
    </w:p>
    <w:p>
      <w:pPr>
        <w:ind w:left="240" w:hanging="239"/>
        <w:spacing w:after="0"/>
        <w:tabs>
          <w:tab w:leader="none" w:pos="24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the effectiveness of this Agreement;</w:t>
      </w:r>
    </w:p>
    <w:p>
      <w:pPr>
        <w:spacing w:after="0" w:line="207"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facilitate the disposal of the Pledged Equity Interests in the manner provided herein; and/or</w:t>
      </w:r>
    </w:p>
    <w:p>
      <w:pPr>
        <w:spacing w:after="0" w:line="207"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or realize the security created or intended to be created by this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12 Effectiveness and Term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 This Agreement shall take effect upon the date of duly execution by all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 This Agreement shall remain in effect until the Contractual Obligations have been fully performed or the Secured Obligations have been fully repaid.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13 Notices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 Any notice, request, demand and other communications required or made under this Agreement shall be delivered in writing to the relevant Party.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 Any such notice or communication sent by fax or telex shall be deemed duly delivered upon dispatch; if delivered personally, upon receipt; if sent by mail, five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days after posting.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14 Miscellaneous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14.1 The Pledgors and the Company agree that the Pledgee may assign any of its rights and/or obligations under this Agreement to any third party upon notice to the Pledgors and the Company; provided that the Pledgors or the Company shall not assign any of their rights, obligations or liabilities under this Agreement to any third party without the prior written consent of the Pledgee. The successors and permitted assigns of the Pledgors and the Company (if any) shall continue to perform their respective obligations under this Agreement.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14.2 The amount of the Secured Obligations determined by the Pledgee in exercising its pledge over the Pledged Equity Interests pursuant to this Agreement shall be conclusive evidence of the Secured Obligations under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14.3 This Agreement is made in Chinese in four (4) original copies, each Party holding one (1) original copy.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 The execution, effectiveness, performance, amendment, interpretation and termination of this Agreement shall be governed by PRC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14.5 Any dispute arising out of or in connection with this Agreement shall be resolved by the Parties through consultation. If no agreement is reached within thirty</w:t>
      </w:r>
    </w:p>
    <w:p>
      <w:pPr>
        <w:spacing w:after="0" w:line="22" w:lineRule="exact"/>
        <w:rPr>
          <w:sz w:val="20"/>
          <w:szCs w:val="20"/>
          <w:color w:val="auto"/>
        </w:rPr>
      </w:pPr>
    </w:p>
    <w:p>
      <w:pPr>
        <w:jc w:val="both"/>
        <w:ind w:firstLine="1"/>
        <w:spacing w:after="0" w:line="251" w:lineRule="auto"/>
        <w:tabs>
          <w:tab w:leader="none" w:pos="33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occurrence of the dispute, either Party may submit the dispute to the China International Economic and Trade Arbitration Commission (CIETAC) for arbitration in accordance with its arbitration rules then in effect. The arbitration shall take place in Beijing and the arbitration language shall be Chinese. The arbitral award shall be final and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71412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5" w:name="page216"/>
    <w:bookmarkEnd w:id="215"/>
    <w:p>
      <w:pPr>
        <w:jc w:val="both"/>
        <w:spacing w:after="0" w:line="261" w:lineRule="auto"/>
        <w:rPr>
          <w:sz w:val="20"/>
          <w:szCs w:val="20"/>
          <w:color w:val="auto"/>
        </w:rPr>
      </w:pPr>
      <w:r>
        <w:rPr>
          <w:rFonts w:ascii="Times New Roman" w:cs="Times New Roman" w:eastAsia="Times New Roman" w:hAnsi="Times New Roman"/>
          <w:sz w:val="17"/>
          <w:szCs w:val="17"/>
          <w:color w:val="auto"/>
        </w:rPr>
        <w:t>14.6 Any right, power or remedy conferred upon any Party by any provision of this Agreement shall not exclude any other right, power or remedy conferred upon such Party by law or any other provision of this Agreement, and the exercise of any right, power or remedy by a Party shall not preclude the exercise of any other right, power or remedy available to it.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14.7 Failure or delay by a Party to exercise any right, power or remedy (the “Rights”) under this Agreement or by law shall not constitute a waiver of such Rights, nor shall any single or partial exercise of any Rights preclude further exercise of such Rights or exercise of other Rights.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14.8 Headings to the Articles of this Agreement are for convenience of reference only and shall not be used or affect the interpretation of the provisions hereof in any case.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14.9 Each provision of this Agreement is severable and independent of the others. If any one or more provisions of this Agreement become invalid, illegal or unenforceable at any time, the validity, legality and enforceability of the other provisions shall not be affected thereby.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14.10 Any amendment or supplement to this Agreement must be made in writing. Except for the assignment of rights under Article 14.1 by the Pledgee, any amendment or supplement to this Agreement shall take effect only upon due execution by all Parties.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14.11 This Agreement supersedes all other written or oral agreements previously reached by the Parties regarding the matters contemplated herein, including without limitation the Original Agreement, and constitutes the entire agreement among the Parties.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14.12 This Agreement shall be binding upon the legal successors of the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further text on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398780</wp:posOffset>
            </wp:positionV>
            <wp:extent cx="71412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color w:val="auto"/>
        </w:rPr>
        <w:t>IN WITNESS WHEREOF, this Amended and Restated Equity Pledge Agreement has been executed by the Parties as of the date first written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Chen Xiaoping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wp:posOffset>
            </wp:positionV>
            <wp:extent cx="31705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Zhuhai Yungui Enterprise Management Consulting Partnership (Limited Partnership) (seal)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Executive Partner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Lequan Technology (Beijing) Co., Ltd. (seal)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Legal Representative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Viomi Technology Co., Ltd. (seal)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53"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color w:val="auto"/>
        </w:rPr>
        <w:t>Annex 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Information of the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Name: Beijing Viomi Technology Co.,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Middle Section, 2nd Floor, Building A, 3rd Building, No.9 Yongfeng Road, Haidian District, Beijing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Capital: RMB 1,000,000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Representative: Chen Xiaoping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Equity Structure: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9"/>
        </w:trPr>
        <w:tc>
          <w:tcPr>
            <w:tcW w:w="3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Shareholder</w:t>
            </w: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 Contribution (RMB)</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Percentage</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2"/>
          </w:tcPr>
          <w:p>
            <w:pPr>
              <w:jc w:val="right"/>
              <w:ind w:right="1880"/>
              <w:spacing w:after="0"/>
              <w:rPr>
                <w:sz w:val="20"/>
                <w:szCs w:val="20"/>
                <w:color w:val="auto"/>
              </w:rPr>
            </w:pPr>
            <w:r>
              <w:rPr>
                <w:rFonts w:ascii="Times New Roman" w:cs="Times New Roman" w:eastAsia="Times New Roman" w:hAnsi="Times New Roman"/>
                <w:sz w:val="17"/>
                <w:szCs w:val="17"/>
                <w:color w:val="auto"/>
                <w:w w:val="95"/>
              </w:rPr>
              <w:t>ID No./USCC</w:t>
            </w:r>
          </w:p>
        </w:tc>
      </w:tr>
      <w:tr>
        <w:trPr>
          <w:trHeight w:val="185"/>
        </w:trPr>
        <w:tc>
          <w:tcPr>
            <w:tcW w:w="20" w:type="dxa"/>
            <w:vAlign w:val="bottom"/>
          </w:tcPr>
          <w:p>
            <w:pPr>
              <w:spacing w:after="0"/>
              <w:rPr>
                <w:sz w:val="16"/>
                <w:szCs w:val="16"/>
                <w:color w:val="auto"/>
              </w:rPr>
            </w:pPr>
          </w:p>
        </w:tc>
        <w:tc>
          <w:tcPr>
            <w:tcW w:w="28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Chen Xiaoping</w:t>
            </w:r>
          </w:p>
        </w:tc>
        <w:tc>
          <w:tcPr>
            <w:tcW w:w="240" w:type="dxa"/>
            <w:vAlign w:val="bottom"/>
          </w:tcPr>
          <w:p>
            <w:pPr>
              <w:spacing w:after="0"/>
              <w:rPr>
                <w:sz w:val="16"/>
                <w:szCs w:val="16"/>
                <w:color w:val="auto"/>
              </w:rPr>
            </w:pPr>
          </w:p>
        </w:tc>
        <w:tc>
          <w:tcPr>
            <w:tcW w:w="24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990,000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99%</w:t>
            </w:r>
          </w:p>
        </w:tc>
        <w:tc>
          <w:tcPr>
            <w:tcW w:w="220" w:type="dxa"/>
            <w:vAlign w:val="bottom"/>
          </w:tcPr>
          <w:p>
            <w:pPr>
              <w:spacing w:after="0"/>
              <w:rPr>
                <w:sz w:val="16"/>
                <w:szCs w:val="16"/>
                <w:color w:val="auto"/>
              </w:rPr>
            </w:pPr>
          </w:p>
        </w:tc>
        <w:tc>
          <w:tcPr>
            <w:tcW w:w="28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r>
      <w:tr>
        <w:trPr>
          <w:trHeight w:val="202"/>
        </w:trPr>
        <w:tc>
          <w:tcPr>
            <w:tcW w:w="3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Zhuhai Yungui Enterprise Management</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2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91440300MA5FRBGX9W</w:t>
            </w:r>
          </w:p>
        </w:tc>
      </w:tr>
      <w:tr>
        <w:trPr>
          <w:trHeight w:val="202"/>
        </w:trPr>
        <w:tc>
          <w:tcPr>
            <w:tcW w:w="3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Consulting Partnership (LP)</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3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r>
      <w:tr>
        <w:trPr>
          <w:trHeight w:val="404"/>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7"/>
          <w:szCs w:val="17"/>
          <w:b w:val="1"/>
          <w:bCs w:val="1"/>
          <w:color w:val="auto"/>
        </w:rPr>
        <w:t>Exhibit 4.10</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Exclusive Option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This Amended and Restated Exclusive Option Agreement (this “Agreement”) is entered into as of [ </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color w:val="auto"/>
        </w:rPr>
        <w:t xml:space="preserve"> ], [____] by and among the following parties:</w:t>
      </w:r>
    </w:p>
    <w:p>
      <w:pPr>
        <w:spacing w:after="0" w:line="212" w:lineRule="exact"/>
        <w:rPr>
          <w:sz w:val="20"/>
          <w:szCs w:val="20"/>
          <w:color w:val="auto"/>
        </w:rPr>
      </w:pPr>
    </w:p>
    <w:p>
      <w:pPr>
        <w:ind w:left="160" w:hanging="159"/>
        <w:spacing w:after="0"/>
        <w:tabs>
          <w:tab w:leader="none" w:pos="1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shareholder listed in Annex 1 (individually and collectively, the “Existing Shareholders”);</w:t>
      </w:r>
    </w:p>
    <w:p>
      <w:pPr>
        <w:spacing w:after="0" w:line="20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Lequan Technology (Beijing) Co., Ltd. (the “Wholly Owned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106 Pingfang, Building 26, South of Xindu East Station, East Sanqi, West Qinghe, Haidian District, Beijing;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Representative: Chen Xiaoping;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Beijing Viomi Technology Co., Ltd.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671, Middle Section, 2nd Floor, Building A, 3rd Building, No.9 Yongfeng Road, Haidian District, Beijing;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Representative: Chen Xiaoping.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above parties is hereinafter referred to as a “Party” and collectively as the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2" w:lineRule="exact"/>
        <w:rPr>
          <w:sz w:val="20"/>
          <w:szCs w:val="20"/>
          <w:color w:val="auto"/>
        </w:rPr>
      </w:pPr>
    </w:p>
    <w:p>
      <w:pPr>
        <w:ind w:firstLine="1"/>
        <w:spacing w:after="0" w:line="274" w:lineRule="auto"/>
        <w:tabs>
          <w:tab w:leader="none" w:pos="273"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Shareholders are the registered shareholders of the Company and legally hold all equity interests of the Company. Their respective capital contributions and shareholding proportions in the registered capital of the Company as of the date hereof are set forth in Annex 1.</w:t>
      </w:r>
    </w:p>
    <w:p>
      <w:pPr>
        <w:spacing w:after="0" w:line="158" w:lineRule="exact"/>
        <w:rPr>
          <w:rFonts w:ascii="Times New Roman" w:cs="Times New Roman" w:eastAsia="Times New Roman" w:hAnsi="Times New Roman"/>
          <w:sz w:val="17"/>
          <w:szCs w:val="17"/>
          <w:color w:val="auto"/>
        </w:rPr>
      </w:pPr>
    </w:p>
    <w:p>
      <w:pPr>
        <w:jc w:val="both"/>
        <w:ind w:firstLine="1"/>
        <w:spacing w:after="0" w:line="261" w:lineRule="auto"/>
        <w:tabs>
          <w:tab w:leader="none" w:pos="239"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21, 2015, Chen Xiaoping, Liu De, Cao Liping, the Wholly Owned Company and the Company entered into an Exclusive Option Agreement (the “Original Agreement”). In view of the change in the Company’s shareholding structure after the execution of the Original Agreement, the Parties hereto agree to enter into this Agreement to restate the Original Agreement based on the revised shareholding structure of the Company.</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241"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Shareholders intend to transfer all their respective equity interests in the Company to the Wholly Owned Company without violating PRC laws, and the Wholly Owned Company intends to accept such transfer.</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243"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intends to transfer its assets to the Wholly Owned Company without violating PRC laws, and the Wholly Owned Company intends to accept such transfer.</w:t>
      </w:r>
    </w:p>
    <w:p>
      <w:pPr>
        <w:spacing w:after="0" w:line="158" w:lineRule="exact"/>
        <w:rPr>
          <w:rFonts w:ascii="Times New Roman" w:cs="Times New Roman" w:eastAsia="Times New Roman" w:hAnsi="Times New Roman"/>
          <w:sz w:val="17"/>
          <w:szCs w:val="17"/>
          <w:color w:val="auto"/>
        </w:rPr>
      </w:pPr>
    </w:p>
    <w:p>
      <w:pPr>
        <w:jc w:val="both"/>
        <w:ind w:firstLine="1"/>
        <w:spacing w:after="0" w:line="277" w:lineRule="auto"/>
        <w:tabs>
          <w:tab w:leader="none" w:pos="261"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effect the aforesaid equity or asset transfer, the Existing Shareholders and the Company agree to grant to the Wholly Owned Company, respectively, an irrevocable exclusive equity transfer option and an asset purchase option. Pursuant to such equity transfer option and asset purchase option, the Existing Shareholders or the Company shall, upon the request of the Wholly Owned Company and to the extent permitted by PRC laws, transfer the Option Equity or the Company’s assets (as defined below) to the Wholly Owned Company and/or any other entity or individual designated by it in accordance with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9" w:name="page220"/>
    <w:bookmarkEnd w:id="219"/>
    <w:p>
      <w:pPr>
        <w:ind w:right="1300" w:firstLine="1"/>
        <w:spacing w:after="0" w:line="492" w:lineRule="auto"/>
        <w:tabs>
          <w:tab w:leader="none" w:pos="23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Shareholders agree that the Company grants the asset purchase option to the Wholly Owned Company pursuant to this Agreement. NOW, THEREFORE, the Parties hereto, through mutual consultation, agree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 Definitions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 Unless the context otherwise requires, the following terms in this Agreement shall have the meanings set forth below:</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“PRC Laws” means the laws, administrative regulations, ministerial rules, local regulations, judicial interpretations and other binding normative documents of the People’s Republic of China in effect from time to time.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“Equity Transfer Option” means the option granted by the Existing Shareholders to the Wholly Owned Company to request the purchase of the equity interests of the Company pursuant to the terms and conditions of this Agreement.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“Asset Purchase Option” means the option granted by the Company to the Wholly Owned Company to request the purchase of any assets of the Company pursuant to the terms and conditions of this Agreement.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“Option Equity” means, in respect of each Existing Shareholder, all equity interests held by it respectively in the registered capital of the Company (as defined below); in respect of all Existing Shareholders, 100% equity interests in the registered capital of the Company.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“Registered Capital of the Company” means, as of the date hereof, the registered capital of the Company of RMB 1,000,000, and shall also include the increased registered capital formed by any form of capital increase during the term of this Agreement.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“Transferred Equity” means the equity interests of the Company that the Wholly Owned Company has the right to request any one of the Existing Shareholders to transfer to it or any other entity or individual designated by it when exercising its Equity Transfer Option pursuant to Article 3 hereof, the amount of which may be all or part of the Option Equity, and the specific amount shall be freely determined by the Wholly Owned Company in accordance with the PRC laws in effect from time to time and its own business considerations.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“Transferred Assets” means the assets of the Company that the Wholly Owned Company has the right to request the Company to transfer to it or any other entity or individual designated by it when exercising its Asset Purchase Option pursuant to Article 3 hereof, the amount of which may be all or part of the assets of the Company, and the specific amount shall be freely determined by the Wholly Owned Company in accordance with the PRC laws in effect from time to time and its own business considerations.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 means the exercise by the Wholly Owned Company of its Equity Transfer Option or Asset Purchase Option.</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“Transfer Price” means the total consideration payable by the Wholly Owned Company or any entity or individual designated by it to the Existing Shareholders or the Company for the acquisition of the Transferred Equity or the Company’s assets in each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0" w:name="page221"/>
    <w:bookmarkEnd w:id="220"/>
    <w:p>
      <w:pPr>
        <w:jc w:val="both"/>
        <w:spacing w:after="0" w:line="261" w:lineRule="auto"/>
        <w:rPr>
          <w:sz w:val="20"/>
          <w:szCs w:val="20"/>
          <w:color w:val="auto"/>
        </w:rPr>
      </w:pPr>
      <w:r>
        <w:rPr>
          <w:rFonts w:ascii="Times New Roman" w:cs="Times New Roman" w:eastAsia="Times New Roman" w:hAnsi="Times New Roman"/>
          <w:sz w:val="17"/>
          <w:szCs w:val="17"/>
          <w:color w:val="auto"/>
        </w:rPr>
        <w:t>“Business Certificates” means any approvals, licenses, filings, registrations, etc. necessary for the Company to lawfully and effectively conduct all its businesses, including but not limited to the Business License of Enterprise Legal Person, the Tax Registration Certificate and other relevant licenses and certificates required by PRC laws from time to time.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“Company Assets” means all tangible and intangible assets owned or disposed of by the Company during the term of this Agreement, including but not limited to any real estate, movable property, and intellectual property rights such as trademarks, copyrights, patents, know-how, domain names, software use rights, etc.</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“Material Agreements” means any agreement to which the Company is a party and which has a material impact on the business or assets of the Company, including but not limited to the Exclusive Consulting and Service Agreement entered into between the Company and the Wholly Owned Company on July 21, 2015, and other important agreements regarding the business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 Notice” has the meaning ascribed to it in Article 3.7 hereof.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“Confidential Information” has the meaning ascribed to it in Article 8.1 hereof.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“Breaching Party” has the meaning ascribed to it in Article 11.1 hereof.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“Breach” has the meaning ascribed to it in Article 11.1 hereof.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Party’s Rights” has the meaning ascribed to it in Article 12.5 hereof.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Any reference to any PRC Laws in this Agreement shall be deemed to:</w:t>
      </w:r>
    </w:p>
    <w:p>
      <w:pPr>
        <w:spacing w:after="0" w:line="208" w:lineRule="exact"/>
        <w:rPr>
          <w:sz w:val="20"/>
          <w:szCs w:val="20"/>
          <w:color w:val="auto"/>
        </w:rPr>
      </w:pPr>
    </w:p>
    <w:p>
      <w:pPr>
        <w:ind w:firstLine="1"/>
        <w:spacing w:after="0" w:line="274" w:lineRule="auto"/>
        <w:tabs>
          <w:tab w:leader="none" w:pos="242"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at the same time a reference to the amendments, changes, supplements and re-enactments of such PRC Laws, regardless of whether they take effect before or after the execution of this Agreement; and</w:t>
      </w:r>
    </w:p>
    <w:p>
      <w:pPr>
        <w:spacing w:after="0" w:line="158"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at the same time a reference to other decisions, notices and rules formulated thereunder or effective therewith.</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1.3 Unless the context of this Agreement otherwise specifies, references to articles, paragraphs, items and sections in this Agreement refer to the corresponding provisions in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2 Grant of Equity Transfer Option and Asset Purchase Option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2.1 The Existing Shareholders hereby severally and jointly agree to irrevocably and unconditionally grant to the Wholly Owned Company an exclusive Equity Transfer Option, pursuant to which the Wholly Owned Company shall have the right, to the extent permitted by PRC laws, to request the Existing Shareholders to transfer the Option Equity to the Wholly Owned Company or any entity or individual designated by it in accordance with the terms and conditions of this Agreement. The Wholly Owned Company hereby agrees to accept such Equity Transfer Option.</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2.2 The Company hereby consents to the Existing Shareholders granting such Equity Transfer Option to the Wholly Owned Company pursuant to Clause 2.1 above and other provisions of this Agreement.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2.3 The Company hereby agrees to irrevocably and unconditionally grant to the Wholly Owned Company an exclusive Asset Purchase Option, pursuant to which the Wholly Owned Company shall have the right, to the extent permitted by PRC laws, to request the Company to transfer any and part of the Company Assets to the Wholly Owned Company or any entity or individual designated by it in accordance with the terms and conditions of this Agreement. The Wholly Owned Company hereby agrees to accept such Asset Purchase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1" w:name="page222"/>
    <w:bookmarkEnd w:id="221"/>
    <w:p>
      <w:pPr>
        <w:jc w:val="both"/>
        <w:spacing w:after="0" w:line="274" w:lineRule="auto"/>
        <w:rPr>
          <w:sz w:val="20"/>
          <w:szCs w:val="20"/>
          <w:color w:val="auto"/>
        </w:rPr>
      </w:pPr>
      <w:r>
        <w:rPr>
          <w:rFonts w:ascii="Times New Roman" w:cs="Times New Roman" w:eastAsia="Times New Roman" w:hAnsi="Times New Roman"/>
          <w:sz w:val="17"/>
          <w:szCs w:val="17"/>
          <w:color w:val="auto"/>
        </w:rPr>
        <w:t>2.4 The Existing Shareholders hereby severally and jointly consent to the Company granting such Asset Purchase Option to the Wholly Owned Company pursuant to Clause 2.3 above and other provisions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3 Methods of Exercise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3.1 Subject to the terms and conditions of this Agreement, the Wholly Owned Company shall have absolute discretion to determine the specific time, manner and frequency of its Exercise to the extent permitted by PRC laws.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3.2 Subject to the terms and conditions of this Agreement and without violating the PRC laws in effect from time to time, the Wholly Owned Company shall have the right to request at any time to acquire all or part of the equity interests of the Company from the Existing Shareholders by itself or through any other entity or individual designated by it.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3.3 Subject to the terms and conditions of this Agreement and without violating the PRC laws in effect from time to time, the Wholly Owned Company shall have the right to request at any time to acquire all or part of the Company Assets from the Company by itself or through any other entity or individual designated by it.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3.4 In respect of the Equity Transfer Option, in each Exercise, the Wholly Owned Company shall have the right to arbitrarily designate the amount of equity interests to be transferred by the Existing Shareholders to the Wholly Owned Company and/or any other entity or individual designated by it in such Exercise, and the Existing Shareholders shall transfer the Transferred Equity to the Wholly Owned Company and/or any other entity or individual designated by it respectively in the amount required by the Wholly Owned Company. The Wholly Owned Company and/or any other entity or individual designated by it shall pay the Transfer Price to the Existing Shareholders transferring the Transferred Equity in respect of the Transferred Equity acquired in each Exercise.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3.5 In respect of the Asset Purchase Option, in each Exercise, the Wholly Owned Company shall have the right to determine the specific Company Assets to be transferred by the Company to the Wholly Owned Company and/or any other entity or individual designated by it in such Exercise, and the Company shall transfer the Transferred Assets to the Wholly Owned Company and/or any other entity or individual designated by it as required by the Wholly Owned Company. The Wholly Owned Company and/or any other entity or individual designated by it shall pay the Transfer Price to the Company in respect of the Transferred Assets acquired in each Exercise.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3.6 In each Exercise, the Wholly Owned Company may acquire the Transferred Equity or Transferred Assets by itself, or designate any third party to acquire all or part of the Transferred Equity or Transferred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2" w:name="page223"/>
    <w:bookmarkEnd w:id="222"/>
    <w:p>
      <w:pPr>
        <w:jc w:val="both"/>
        <w:spacing w:after="0" w:line="254" w:lineRule="auto"/>
        <w:rPr>
          <w:sz w:val="20"/>
          <w:szCs w:val="20"/>
          <w:color w:val="auto"/>
        </w:rPr>
      </w:pPr>
      <w:r>
        <w:rPr>
          <w:rFonts w:ascii="Times New Roman" w:cs="Times New Roman" w:eastAsia="Times New Roman" w:hAnsi="Times New Roman"/>
          <w:sz w:val="17"/>
          <w:szCs w:val="17"/>
          <w:color w:val="auto"/>
        </w:rPr>
        <w:t>3.7 After the Wholly Owned Company decides to Exercise each time, it shall issue an Equity Transfer Option Exercise Notice or an Asset Purchase Option Exercise Notice (collectively, the “Exercise Notice”, the form of which is set forth in Annex 2 and Annex 3 hereto) to the Existing Shareholders or the Company. Upon receipt of the Exercise Notice, the Existing Shareholders or the Company shall immediately transfer all the Transferred Equity to the Wholly Owned Company and/or any other entity or individual designated by it in a one-time manner in accordance with the manner set forth in Article 3.4 or Article 3.5 hereof pursuant to the Exercise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4 Transfer Price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4.1 In respect of the Equity Transfer Option, in each Exercise by the Wholly Owned Company, the total Transfer Price payable by the Wholly Owned Company or any entity or individual designated by it to each Shareholder shall be the capital contribution corresponding to the relevant Transferred Equity in the registered capital of the Target Company or the minimum price permitted by the PRC laws in effect from time to time, whichever is lower. Each Shareholder covenants and agrees that it has received full compensation from the Wholly Owned Company and shall return all the equity transfer consideration received to the Wholly Owned Company or any entity or individual designated by it within ten (10) Business Days after receiving such equity transfer consideration.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4.2 In respect of the Asset Purchase Option, in each Exercise by the Wholly Owned Company, the Wholly Owned Company or any entity or individual designated by it shall pay the minimum price permitted by the PRC laws in effect from time to time to the Target Company. The Target Company covenants and agrees that it has received full compensation from the Wholly Owned Company and shall return all the asset transfer consideration received to the Wholly Owned Company or any entity or individual designated by it within ten (10) Business Days after receiving such asset transfer consideration.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5 Representations and Warranties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 The Existing Shareholders hereby severally and jointly represent and warrant as follows: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5.1.1 Each Existing Shareholder is a Chinese citizen with full capacity for civil conduct or an entity duly registered and legally existing under PRC laws; it has full and independent legal status and legal capacity to execute, deliver and perform this Agreement, and may independently be a party to litigation.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5.1.2 The Company is a limited liability company duly registered and legally existing under PRC laws with independent legal person status; it has full and independent legal status and legal capacity to execute, deliver and perform this Agreement, and may independently be a party to litigation.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5.1.3 It has full power and authority to execute, deliver and perform this Agreement and all other documents to be executed by it in connection with the transactions contemplated herein, and to complete the transactions contemplated herein.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5.1.4 This Agreement has been lawfully and duly executed and delivered by the Existing Shareholders. This Agreement constitutes its legal, valid and binding obligation enforceable against it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3" w:name="page224"/>
    <w:bookmarkEnd w:id="223"/>
    <w:p>
      <w:pPr>
        <w:spacing w:after="0" w:line="257" w:lineRule="auto"/>
        <w:rPr>
          <w:sz w:val="20"/>
          <w:szCs w:val="20"/>
          <w:color w:val="auto"/>
        </w:rPr>
      </w:pPr>
      <w:r>
        <w:rPr>
          <w:rFonts w:ascii="Times New Roman" w:cs="Times New Roman" w:eastAsia="Times New Roman" w:hAnsi="Times New Roman"/>
          <w:sz w:val="17"/>
          <w:szCs w:val="17"/>
          <w:color w:val="auto"/>
        </w:rPr>
        <w:t>5.1.5 The Existing Shareholders are the registered and legal owners of the Option Equity as of the effective date of this Agreement. Except for the pledge created under the Amended and Restated Equity Pledge Agreement entered into by and among the Company, the Wholly Owned Company and the Existing Shareholders on</w:t>
      </w:r>
    </w:p>
    <w:p>
      <w:pPr>
        <w:spacing w:after="0" w:line="1" w:lineRule="exact"/>
        <w:rPr>
          <w:sz w:val="20"/>
          <w:szCs w:val="20"/>
          <w:color w:val="auto"/>
        </w:rPr>
      </w:pPr>
    </w:p>
    <w:p>
      <w:pPr>
        <w:jc w:val="both"/>
        <w:ind w:firstLine="1"/>
        <w:spacing w:after="0" w:line="250" w:lineRule="auto"/>
        <w:tabs>
          <w:tab w:leader="none" w:pos="14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 xml:space="preserve"> ] and the entrustment right created under the Amended and Restated Shareholder Voting Rights Entrustment Agreement dated [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 xml:space="preserve"> ], [ </w:t>
      </w:r>
      <w:r>
        <w:rPr>
          <w:rFonts w:ascii="Times New Roman" w:cs="Times New Roman" w:eastAsia="Times New Roman" w:hAnsi="Times New Roman"/>
          <w:sz w:val="17"/>
          <w:szCs w:val="17"/>
          <w:color w:val="auto"/>
        </w:rPr>
        <w:t>], there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liens, pledges, claims or other security interests and third-party rights on the Option Equity. Pursuant to this Agreement, the Wholly Owned Company and/or any other entity or individual designated by it may obtain good and marketable title to the Transferred Equity free and clear of any liens, pledges, claims or other security interests or third-party rights after Exercise.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5.1.6 To the knowledge of the Existing Shareholders, there are no liens, mortgages, claims or other security interests and third-party rights on the Company Assets. Pursuant to this Agreement, the Wholly Owned Company and/or any other entity or individual designated by it may obtain good and marketable title to the Company Assets free and clear of any liens, mortgages, claims or other security interests or third-party rights after Exercise.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5.1.7 Unless required by mandatory PRC laws, the Existing Shareholders shall not request the Company to declare distribution or actual payment of any distributable profits, dividends, bonuses or distributions; if the Existing Shareholders obtain any profits, dividends, bonuses or distributions from the Company, the Existing Shareholders shall timely donate the same to the Wholly Owned Company or any eligible entity or individual designated by the Wholly Owned Company to the extent permitted by PRC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 The Company hereby represents and warrants as follows: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5.2.1 The Company is a limited liability company duly registered and legally existing under PRC laws with independent legal person status. The Company has full and independent legal status and legal capacity to execute, deliver and perform this Agreement, and may independently be a party to litigation.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5.2.2 The Company has full internal power and authority of the Company to execute, deliver and perform this Agreement and all other documents to be executed by it in connection with the transactions contemplated herein, and to complete the transactions contemplated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5.2.3 This Agreement has been lawfully and duly executed and delivered by the Company. This Agreement constitutes its legal, valid and binding obligation.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5.2.4 There are no liens, mortgages, claims or other security interests and third-party rights on the Company Assets. Pursuant to this Agreement, the Wholly Owned Company and/or any other entity or individual designated by it may obtain good and marketable title to the Company Assets free and clear of any liens, mortgages, claims or other security interests or third-party rights after Exercise.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5.2.5 Unless required by mandatory PRC laws, the Company shall not declare distribution or actual payment of any distributable profits, dividends, bonuses or distributions.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 The Wholly Owned Company hereby represents and warrants as follows: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5.3.1 The Wholly Owned Company is a wholly foreign-owned enterprise duly registered and legally existing under PRC laws with independent legal person status. The Wholly Owned Company has full and independent legal status and legal capacity to execute, deliver and perform this Agreement, and may independently be a party to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4" w:name="page225"/>
    <w:bookmarkEnd w:id="224"/>
    <w:p>
      <w:pPr>
        <w:jc w:val="both"/>
        <w:spacing w:after="0" w:line="274" w:lineRule="auto"/>
        <w:rPr>
          <w:sz w:val="20"/>
          <w:szCs w:val="20"/>
          <w:color w:val="auto"/>
        </w:rPr>
      </w:pPr>
      <w:r>
        <w:rPr>
          <w:rFonts w:ascii="Times New Roman" w:cs="Times New Roman" w:eastAsia="Times New Roman" w:hAnsi="Times New Roman"/>
          <w:sz w:val="17"/>
          <w:szCs w:val="17"/>
          <w:color w:val="auto"/>
        </w:rPr>
        <w:t>5.3.2 The Wholly Owned Company has full internal power and authority of the company to execute, deliver and perform this Agreement and all other documents to be executed by it in connection with the transactions contemplated herein, and to complete the transactions contemplated herein.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5.3.3 This Agreement has been lawfully and duly executed and delivered by the Wholly Owned Company. This Agreement constitutes its legal, valid and binding obligation.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6 Covenants of Existing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Existing Shareholders hereby severally covenant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 During the term of this Agreement, without the prior written consent of the Wholly Owned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6.1.1 No Existing Shareholder shall transfer or otherwise dispose of any Option Equity or create any security interest or other third-party rights on any Option Equity;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6.1.2 It shall not increase or reduce the registered capital of the Company, or merge with any other entity;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6.1.3 It shall not dispose of or cause the management of the Company to dispose of any material Company Assets (except those incurred in the ordinary course of business);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6.1.4 It shall not terminate or cause the management of the Company to terminate any Material Agreements entered into by the Company, or enter into any other agreements conflicting with existing Material Agreements;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6.1.5 It shall not appoint or remove any directors, supervisors or other management personnel of the Company to be appointed or removed by the Existing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6.1.6 It shall not cause the Company to declare distribution or actual payment of any distributable profits, dividends, bonuses or distributions;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6.1.7 It shall ensure the valid existence of the Company without termination, liquidation or dissolution;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6.1.8 It shall not amend the articles of association of the Company; and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6.1.9 It shall ensure that the Company does not lend or borrow loans, or provide guarantees or other forms of security, or assume any material obligations outside the ordinary course of business.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6.2 During the term of this Agreement, it shall use its best efforts to develop the business of the Company and ensure the lawful and compliant operation of the Company, and shall not commit any act or omission that may damage the Company’s assets, goodwill or affect the validity of the Company’s Business Certificates.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6.3 During the term of this Agreement, it shall promptly inform the Wholly Owned Company of any conditions that may have a material adverse effect on the existence, business operation, financial status, assets or goodwill of the Company, and promptly take all measures approved by the Wholly Owned Company to eliminate such adverse conditions or take effective remedial measures therefor.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 Once the Wholly Owned Company issues an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5" w:name="page226"/>
    <w:bookmarkEnd w:id="225"/>
    <w:p>
      <w:pPr>
        <w:jc w:val="both"/>
        <w:spacing w:after="0" w:line="261" w:lineRule="auto"/>
        <w:rPr>
          <w:sz w:val="20"/>
          <w:szCs w:val="20"/>
          <w:color w:val="auto"/>
        </w:rPr>
      </w:pPr>
      <w:r>
        <w:rPr>
          <w:rFonts w:ascii="Times New Roman" w:cs="Times New Roman" w:eastAsia="Times New Roman" w:hAnsi="Times New Roman"/>
          <w:sz w:val="17"/>
          <w:szCs w:val="17"/>
          <w:color w:val="auto"/>
        </w:rPr>
        <w:t>6.4.1 It shall immediately convene a shareholders’ meeting and adopt a shareholders’ resolution and take all other necessary actions to approve the transfer of all Transferred Equity or Transferred Assets by any Existing Shareholder or the Company to the Wholly Owned Company and/or any other entity or individual designated by it at the Transfer Price, and waive any preemptive right it may have (if any);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6.4.2 It shall immediately sign an equity transfer agreement with the Wholly Owned Company and/or any other entity or individual designated by it to transfer all Transferred Equity to the Wholly Owned Company and/or any other entity or individual designated by it at the Transfer Price, and provide necessary support to the Wholly Owned Company in accordance with the requirements of the Wholly Owned Company and applicable laws and regulations (including providing and signing all relevant legal documents, completing all government approval and registration procedures and assuming all relevant obligations), so that the Wholly Owned Company and/or any other entity or individual designated by it may obtain all Transferred Equity free of any legal defects and free of any security interests, third-party restrictions or any other restrictions on the equity.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6.5 If the total Transfer Price received by any Existing Shareholder in respect of the Transferred Equity held by it is higher than its capital contribution to the Company, or if it receives any profit distribution, dividend, bonus or distribution of the Company in any form, such Existing Shareholder agrees to waive the premium portion of such income and any profit distribution, dividend, bonus or distribution (after deducting relevant taxes) to the extent permitted by PRC laws, and the Wholly Owned Company shall be entitled to such portion of income. The Existing Shareholder shall instruct the relevant transferee or the Company to pay such portion of income to the bank account designated by the Wholly Owned Company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7 Covenants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 The Company hereby covenants as follows: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7.1.1 If the execution and performance of this Agreement and the grant of the Equity Transfer Option or Asset Purchase Option hereunder require the consent, license, waiver, authorization of any third party or the approval, license, exemption of any government authority or registration or filing procedures with any government authority (if required by law), the Company shall use its best efforts to assist in satisfying such conditions.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7.1.2 Without the prior written consent of the Wholly Owned Company, the Company shall not assist or allow the Existing Shareholders to transfer or otherwise dispose of any Option Equity or create any security interest or other third-party rights on any Option Equity.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7.1.3 Without the prior written consent of the Wholly Owned Company, the Company shall not transfer or otherwise dispose of any material Company Assets (except those incurred in the ordinary course of business) or create any security interest or other third-party rights on any Company Assets.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7.1.4 The Company shall not conduct or permit any act or action that may adversely affect the interests of the Wholly Owned Company hereunder, including but not limited to any act or action restricted by Article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color w:val="auto"/>
        </w:rPr>
        <w:t>7.2 Once the Wholly Owned Company issues an Exercise Notice: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7.2.1 It shall immediately cause the Existing Shareholders to convene a shareholders’ meeting and adopt a shareholders’ resolution and take all other necessary actions to approve the transfer of all Transferred Assets by the Company to the Wholly Owned Company and/or any other entity or individual designated by it at the Transfer Price;</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7.2.2 It shall immediately sign an asset transfer agreement with the Wholly Owned Company and/or any other entity or individual designated by it to transfer all Transferred Assets to the Wholly Owned Company and/or any other entity or individual designated by it at the Transfer Price, and cause the shareholders to provide necessary support to the Wholly Owned Company in accordance with the requirements of the Wholly Owned Company and applicable laws and regulations (including providing and signing all relevant legal documents, completing all government approval and registration procedures and assuming all relevant obligations), so that the Wholly Owned Company and/or any other entity or individual designated by it may obtain all Transferred Assets free of any legal defects and free of any security interests, third-party restrictions or any other restrictions on the Company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8 Confidentiality Obligations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8.1 Whether or not this Agreement is terminated, the Parties shall keep strictly confidential all trade secrets, proprietary information, customer information and other information of a confidential nature of other Parties obtained in the course of entering into and performing this Agreement (collectively, the “Confidential Information”). Except with the prior written consent of the disclosing Party of Confidential Information or as required by applicable laws and regulations or the listing venue of a Party’s affiliated company, the receiving Party of Confidential Information shall not disclose any Confidential Information to any other third party; and shall not use or indirectly use any Confidential Information except for the purpose of performing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 The following information shall not constitute Confidential Information:</w:t>
      </w:r>
    </w:p>
    <w:p>
      <w:pPr>
        <w:spacing w:after="0" w:line="208" w:lineRule="exact"/>
        <w:rPr>
          <w:sz w:val="20"/>
          <w:szCs w:val="20"/>
          <w:color w:val="auto"/>
        </w:rPr>
      </w:pPr>
    </w:p>
    <w:p>
      <w:pPr>
        <w:ind w:left="220" w:hanging="219"/>
        <w:spacing w:after="0"/>
        <w:tabs>
          <w:tab w:leader="none" w:pos="22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information that the receiving Party has previously lawfully obtained with written evidence;</w:t>
      </w:r>
    </w:p>
    <w:p>
      <w:pPr>
        <w:spacing w:after="0" w:line="207"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that enters the public domain through no fault of the receiving Party; or</w:t>
      </w:r>
    </w:p>
    <w:p>
      <w:pPr>
        <w:spacing w:after="0" w:line="207" w:lineRule="exact"/>
        <w:rPr>
          <w:rFonts w:ascii="Times New Roman" w:cs="Times New Roman" w:eastAsia="Times New Roman" w:hAnsi="Times New Roman"/>
          <w:sz w:val="17"/>
          <w:szCs w:val="17"/>
          <w:color w:val="auto"/>
        </w:rPr>
      </w:pPr>
    </w:p>
    <w:p>
      <w:pPr>
        <w:ind w:left="220" w:hanging="219"/>
        <w:spacing w:after="0"/>
        <w:tabs>
          <w:tab w:leader="none" w:pos="22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lawfully obtained by the receiving Party from other sources after receiving the information.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8.3 The receiving Party may disclose Confidential Information to its relevant employees, agents or professional advisors engaged by it, provided that the receiving Party shall ensure that such persons comply with the relevant terms and conditions of this Agreement and be liable for any liability arising from the breach of the relevant terms and conditions of this Agreement by such persons.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8.4 Notwithstanding any other provisions of this Agreement, the effectiveness of this Article shall not be affected by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color w:val="auto"/>
        </w:rPr>
        <w:t>Article 9 Term of Agreement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Agreement shall take effect on the date of formal execution by all Parties hereto, and shall terminate upon the lawful transfer of all Option Equity and Company Assets to the Wholly Owned Company and/or any other entity or individual designated by it in accordance with the provisions 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10 Notices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 Any notice, request, demand and other communications required or made under this Agreement shall be delivered to the relevant Party in writing.</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10.2 Any such notice or communication sent by fax or telex shall be deemed delivered upon dispatch; if delivered in person, it shall be deemed delivered upon personal delivery; if sent by mail, it shall be deemed delivered five (5) days after posting.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11 Liability for Breach</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11.1 The Parties agree and confirm that if any Party (the “Breaching Party”) materially breaches any covenant made by it hereunder, or materially fails to perform or delays the performance of any obligation hereunder, it shall constitute a breach hereunder (the “Breach”). The non-breaching Party shall have the right to require the Breaching Party to remedy or take remedial measures within a reasonable period. If the Breaching Party fails to remedy or take remedial measures within a reasonable period or within ten (10) days after the non-breaching Party gives written notice to the Breaching Party and requests remedy, the non-breaching Party may, at its sole discretion:</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11.1.1 If the Existing Shareholders or the Company is the Breaching Party, the Wholly Owned Company shall have the right to terminate this Agreement and claim damages from the Breaching Party;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11.1.2 If the Wholly Owned Company is the Breaching Party, the non-breaching Party shall have the right to claim damages from the Breaching Party, but unless otherwise provided by law, it shall not have the right to terminate or rescind this Agreement under any circumstances.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 Notwithstanding any other provisions of this Agreement, the effectiveness of this Article shall not be affected by the termination of this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 12 Miscellaneous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 This Agreement is made in Chinese in four (4) original copies, each Party hereto holding one (1) copy.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 The execution, effectiveness, performance, amendment, interpretation and termination of this Agreement shall be governed by PRC laws.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12.3 Any dispute arising out of or in connection with this Agreement shall be resolved by the Parties through consultation. If the Parties fail to reach an agreement within thirty (30) days after the occurrence of the dispute, such dispute shall be submitted to the China International Economic and Trade Arbitration Commission for arbitration in accordance with the arbitration rules in effect from time to time. The arbitration shall be held in Beijing, the language used in the arbitration shall be Chinese, and the arbitral award shall be final and binding on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8" w:name="page229"/>
    <w:bookmarkEnd w:id="228"/>
    <w:p>
      <w:pPr>
        <w:jc w:val="both"/>
        <w:spacing w:after="0" w:line="261" w:lineRule="auto"/>
        <w:rPr>
          <w:sz w:val="20"/>
          <w:szCs w:val="20"/>
          <w:color w:val="auto"/>
        </w:rPr>
      </w:pPr>
      <w:r>
        <w:rPr>
          <w:rFonts w:ascii="Times New Roman" w:cs="Times New Roman" w:eastAsia="Times New Roman" w:hAnsi="Times New Roman"/>
          <w:sz w:val="17"/>
          <w:szCs w:val="17"/>
          <w:color w:val="auto"/>
        </w:rPr>
        <w:t>12.4 Any rights, powers and remedies granted to the Parties under any provision of this Agreement shall not exclude any other rights, powers or remedies enjoyed by such Party pursuant to the provisions of law and other provisions of this Agreement, and the exercise of any right, power or remedy by a Party shall not exclude the exercise of any other right, power or remedy enjoyed by it.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12.5 The failure or delay of a Party to exercise any right, power or remedy (the “Such Party’s Rights”) under this Agreement or by law shall not constitute a waiver of such rights, and any waiver of any single or part of Such Party’s Rights shall not preclude the exercise of such rights in other manners and the exercise of other Such Party’s Rights.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12.6 The headings of each article of this Agreement are for convenience of reference only and shall not be used or affect the interpretation of the provisions of this Agreement under any circumstances.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12.7 Each provision of this Agreement is severable and independent of each other provision. If any one or more provisions of this Agreement become invalid, illegal or unenforceable at any time, the validity, legality and enforceability of the other provisions of this Agreement shall not be affected thereby.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12.8 This Agreement, upon execution, shall supersede any other legal documents previously executed by the Parties on the same subject matter, including but not limited to the Original Agreement. Any amendment or supplement to this Agreement must be made in writing and shall take effect upon due execution by all Parties 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 No Party may assign any of its rights and/or obligations hereunder to any third party without the prior written consent of the other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12.10 This Agreement shall be binding on the legal successors and assigns of the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text below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color w:val="auto"/>
        </w:rPr>
        <w:t>Signatures to the Amended and Restated Exclusive Option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this Amended and Restated Exclusive Option Agreement has been executed by the Parties as of the date first written above.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Chen Xiaoping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80"/>
          </w:cols>
          <w:pgMar w:left="320" w:top="851" w:right="13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color w:val="auto"/>
        </w:rPr>
        <w:t>Signatures to the Amended and Restated Exclusive Option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this Amended and Restated Exclusive Option Agreement has been executed by the Parties as of the date first written above.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Zhuhai Yungui Enterprise Management Consulting Partnership (Limited Partnership)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Executive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80"/>
          </w:cols>
          <w:pgMar w:left="320" w:top="850" w:right="13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color w:val="auto"/>
        </w:rPr>
        <w:t>Signatures to the Amended and Restated Exclusive Option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this Amended and Restated Exclusive Option Agreement has been executed by the Parties as of the date first written above.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Lequan Technology (Beijing) Co., Ltd. </w:t>
      </w:r>
      <w:r>
        <w:rPr>
          <w:rFonts w:ascii="Times New Roman" w:cs="Times New Roman" w:eastAsia="Times New Roman" w:hAnsi="Times New Roman"/>
          <w:sz w:val="17"/>
          <w:szCs w:val="17"/>
          <w:color w:val="auto"/>
        </w:rPr>
        <w:t>(Seal)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Legal Representative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Beijing Viomi Technology Co., Ltd. </w:t>
      </w:r>
      <w:r>
        <w:rPr>
          <w:rFonts w:ascii="Times New Roman" w:cs="Times New Roman" w:eastAsia="Times New Roman" w:hAnsi="Times New Roman"/>
          <w:sz w:val="17"/>
          <w:szCs w:val="17"/>
          <w:color w:val="auto"/>
        </w:rPr>
        <w:t>(Seal)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Name:</w:t>
        <w:tab/>
        <w:t>Chen Xiaoping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-123190</wp:posOffset>
            </wp:positionV>
            <wp:extent cx="31705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3170555"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80"/>
          </w:cols>
          <w:pgMar w:left="320" w:top="850" w:right="13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color w:val="auto"/>
        </w:rPr>
        <w:t>Annex 1 Basic Information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Name: Beijing Viomi Technology Co., Ltd.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Address: 671, Middle Section, 2nd Floor, Building A, 3rd Building, No.9 Yongfeng Road, Haidian District, Beijing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Registered Capital: RMB 1,000,000</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Legal Representative: Chen Xiaoping</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5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Shareholding Structure</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562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 Contribution</w:t>
            </w: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Proportion of</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ID Number/Unified Social</w:t>
            </w:r>
          </w:p>
        </w:tc>
      </w:tr>
      <w:tr>
        <w:trPr>
          <w:trHeight w:val="218"/>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Name of Shareholder</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(RMB)</w:t>
            </w: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Contribution</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Credit Code</w:t>
            </w:r>
          </w:p>
        </w:tc>
        <w:tc>
          <w:tcPr>
            <w:tcW w:w="100" w:type="dxa"/>
            <w:vAlign w:val="bottom"/>
            <w:tcBorders>
              <w:bottom w:val="single" w:sz="8" w:color="CCEEFF"/>
            </w:tcBorders>
          </w:tcPr>
          <w:p>
            <w:pPr>
              <w:spacing w:after="0"/>
              <w:rPr>
                <w:sz w:val="18"/>
                <w:szCs w:val="18"/>
                <w:color w:val="auto"/>
              </w:rPr>
            </w:pPr>
          </w:p>
        </w:tc>
      </w:tr>
      <w:tr>
        <w:trPr>
          <w:trHeight w:val="19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Chen Xiaoping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990,000</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r>
      <w:tr>
        <w:trPr>
          <w:trHeight w:val="185"/>
        </w:trPr>
        <w:tc>
          <w:tcPr>
            <w:tcW w:w="56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Zhuhai Yungui Enterprise Management Consulting Partnership (Limited</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Partnership)</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10,000</w:t>
            </w:r>
          </w:p>
        </w:tc>
        <w:tc>
          <w:tcPr>
            <w:tcW w:w="10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91440300MA5FRBGX9W</w:t>
            </w:r>
          </w:p>
        </w:tc>
      </w:tr>
      <w:tr>
        <w:trPr>
          <w:trHeight w:val="20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1,000,000</w:t>
            </w:r>
          </w:p>
        </w:tc>
        <w:tc>
          <w:tcPr>
            <w:tcW w:w="10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403"/>
        </w:trPr>
        <w:tc>
          <w:tcPr>
            <w:tcW w:w="5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0"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color w:val="auto"/>
        </w:rPr>
        <w:t>Annex 2 Form of Exercise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Chen Xiaoping, Zhuhai Yungui Enterprise Management Consulting Partnership (Limited Partnership)</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WHEREAS, our company has entered into an Amended and Restated Exclusive Option Agreement (the “Option Agreement”) with you and Beijing Viomi Technology Co., Ltd. (the “Company”), pursuant to which you shall, to the extent permitted by PRC laws and regulations, transfer the equity interests held by you in the Company to our company or any third party designated by our company upon our request.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our company hereby gives you this notice as follows: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company hereby requests to exercise the Equity Transfer Option under the Option Agreement, and [●] [name of company/individual] designated by our company shall acquire [●]% equity interests of the Company held by you (the “Proposed Transferred Equity”). Please immediately transfer all Proposed Transferred Equity to our company/[name of designated company/individual] pursuant to the provisions of the Option Agreement upon receipt of this notice.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Lequan Technology (Beijing) Co., Ltd.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Representative: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color w:val="auto"/>
        </w:rPr>
        <w:t>Annex 3 Form of Exercise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Beijing Viomi Technology Co., Ltd.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WHEREAS, our company has entered into an Amended and Restated Exclusive Option Agreement (the “Option Agreement”) with your company, Chen Xiaoping and Zhuhai Yungui Enterprise Management Consulting Partnership (Limited Partnership), pursuant to which your company shall, to the extent permitted by PRC laws and regulations, transfer your company’s assets to our company or any third party designated by our company upon our request.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our company hereby gives your company this notice as follows: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company hereby requests to exercise the Asset Purchase Option under the Option Agreement, and [●] [name of company/individual] designated by our company shall acquire all assets of your company listed in the attached list (the “Proposed Transferred Assets”). Please immediately transfer all Proposed Transferred Assets to our company/[name of designated company/individual] pursuant to the provisions of the Option Agreement upon receipt of this notice.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Lequan Technology (Beijing) Co., Ltd.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Representative: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7"/>
          <w:szCs w:val="17"/>
          <w:b w:val="1"/>
          <w:bCs w:val="1"/>
          <w:color w:val="auto"/>
        </w:rPr>
        <w:t>Exhibit 4.11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SPOUSE CONSENT LETTER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 Zhou Juan (ID No.: ******************), the lawful spouse of Chen Xiaoping (ID No.: ******************), hereby unconditionally consent that all the equity interests (“Equity Interests”) held by Chen Xiaoping in Beijing Viomi Technology Co., Ltd. (the “Domestic Enterprise”) shall be disposed of in accordance with the arrangements under the Amended and Restated Exclusive Option Agreement, the Amended and Restated Equity Pledge Agreement and the Amended and Restated Shareholder Voting Rights Entrustment Agreement (the “Transaction Documents”) signed by Chen Xiaoping on _______ ___, _______. I hereby consent and confirm that the Equity Interests do not constitute the joint property of Chen Xiaoping and myself.</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 further undertake not to take any action inconsistent with the aforesaid arrangements, including claiming that the Equity Interests constitute the property or joint property between Chen Xiaoping and myself, claiming to participate in the daily operation and management of the Domestic Enterprise or otherwise affecting my spouse’s decision in respect of the Equity Interests based on such claim. I hereby unconditionally and irrevocably waive any rights or interests in the Equity Interests and arising from the ownership of the Equity Interests that may be granted to me under applicable laws. I further confirm, undertake and warrant that under any circumstances, my spouse shall have the sole right to deal with the Equity Interests held by him in the Domestic Enterprise and the corresponding assets, and I shall not take any action that may affect or hinder my spouse’s performance of his obligations under the Transaction Documents.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 agree and confirm that this Amended and Restated Spouse Consent Letter (this “Consent Letter”) shall take effect on the date of signing. The Spouse Consent Letter issued by me on July 21, 2015 (the “Original Consent Letter”) shall terminate on the date hereof and be completely replaced by this Consent Letter.</w:t>
      </w:r>
    </w:p>
    <w:p>
      <w:pPr>
        <w:spacing w:after="0" w:line="159"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19"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6"/>
          <w:szCs w:val="16"/>
          <w:color w:val="auto"/>
        </w:rPr>
        <w:t>_______ 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278130</wp:posOffset>
            </wp:positionV>
            <wp:extent cx="71412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List of Significant Subsidiaries and Consolidated Variable Interest Entities of Viomi Technology Co., Ltd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Subsidiaries</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Place of Incorporation</w:t>
            </w:r>
          </w:p>
        </w:tc>
      </w:tr>
      <w:tr>
        <w:trPr>
          <w:trHeight w:val="178"/>
        </w:trPr>
        <w:tc>
          <w:tcPr>
            <w:tcW w:w="67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Codream HK Co., Limited</w:t>
            </w:r>
          </w:p>
        </w:tc>
        <w:tc>
          <w:tcPr>
            <w:tcW w:w="220" w:type="dxa"/>
            <w:vAlign w:val="bottom"/>
          </w:tcPr>
          <w:p>
            <w:pPr>
              <w:spacing w:after="0"/>
              <w:rPr>
                <w:sz w:val="15"/>
                <w:szCs w:val="15"/>
                <w:color w:val="auto"/>
              </w:rPr>
            </w:pPr>
          </w:p>
        </w:tc>
        <w:tc>
          <w:tcPr>
            <w:tcW w:w="42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Hong Kong</w:t>
            </w:r>
          </w:p>
        </w:tc>
      </w:tr>
      <w:tr>
        <w:trPr>
          <w:trHeight w:val="202"/>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Viomi HK Technology Co., Limited</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Hong Kong</w:t>
            </w:r>
          </w:p>
        </w:tc>
      </w:tr>
      <w:tr>
        <w:trPr>
          <w:trHeight w:val="202"/>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Yunmi Hulian Technology (Guangdong) Co., Ltd.</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People’s Republic of China</w:t>
            </w:r>
          </w:p>
        </w:tc>
      </w:tr>
      <w:tr>
        <w:trPr>
          <w:trHeight w:val="202"/>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Lequan Technology (Beijing) Co., Ltd.</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People’s Republic of China</w:t>
            </w:r>
          </w:p>
        </w:tc>
      </w:tr>
      <w:tr>
        <w:trPr>
          <w:trHeight w:val="202"/>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Zhumeng Hulian Technology (Guangdong) Co., Ltd.</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People’s Republic of China</w:t>
            </w:r>
          </w:p>
        </w:tc>
      </w:tr>
      <w:tr>
        <w:trPr>
          <w:trHeight w:val="218"/>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Guangdong Lizi Technology Co., Ltd.</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People’s Republic of China</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Variable Interest Entities</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Place of Incorporation</w:t>
            </w:r>
          </w:p>
        </w:tc>
      </w:tr>
      <w:tr>
        <w:trPr>
          <w:trHeight w:val="178"/>
        </w:trPr>
        <w:tc>
          <w:tcPr>
            <w:tcW w:w="67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Guangdong Interconnect Electric Appliances Technology Co. Ltd</w:t>
            </w:r>
          </w:p>
        </w:tc>
        <w:tc>
          <w:tcPr>
            <w:tcW w:w="220" w:type="dxa"/>
            <w:vAlign w:val="bottom"/>
          </w:tcPr>
          <w:p>
            <w:pPr>
              <w:spacing w:after="0"/>
              <w:rPr>
                <w:sz w:val="15"/>
                <w:szCs w:val="15"/>
                <w:color w:val="auto"/>
              </w:rPr>
            </w:pPr>
          </w:p>
        </w:tc>
        <w:tc>
          <w:tcPr>
            <w:tcW w:w="42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People’s Republic of China</w:t>
            </w:r>
          </w:p>
        </w:tc>
      </w:tr>
      <w:tr>
        <w:trPr>
          <w:trHeight w:val="218"/>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Beijing Yunmi Technology Co., Ltd</w:t>
            </w:r>
          </w:p>
        </w:tc>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People’s Republic of China</w:t>
            </w:r>
          </w:p>
        </w:tc>
      </w:tr>
      <w:tr>
        <w:trPr>
          <w:trHeight w:val="404"/>
        </w:trPr>
        <w:tc>
          <w:tcPr>
            <w:tcW w:w="6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Xiaoping Chen, certify that:</w:t>
      </w:r>
    </w:p>
    <w:p>
      <w:pPr>
        <w:spacing w:after="0" w:line="208" w:lineRule="exact"/>
        <w:rPr>
          <w:sz w:val="20"/>
          <w:szCs w:val="20"/>
          <w:color w:val="auto"/>
        </w:rPr>
      </w:pPr>
    </w:p>
    <w:p>
      <w:pPr>
        <w:ind w:left="600" w:hanging="599"/>
        <w:spacing w:after="0"/>
        <w:tabs>
          <w:tab w:leader="none" w:pos="60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Viomi Technology Co., Ltd;</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Date:</w:t>
        <w:tab/>
        <w:t>April 22, 2026</w:t>
      </w:r>
    </w:p>
    <w:p>
      <w:pPr>
        <w:spacing w:after="0" w:line="20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Xiaoping Chen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Xiaoping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Xiaoping Chen, certify that:</w:t>
      </w:r>
    </w:p>
    <w:p>
      <w:pPr>
        <w:spacing w:after="0" w:line="208" w:lineRule="exact"/>
        <w:rPr>
          <w:sz w:val="20"/>
          <w:szCs w:val="20"/>
          <w:color w:val="auto"/>
        </w:rPr>
      </w:pPr>
    </w:p>
    <w:p>
      <w:pPr>
        <w:ind w:left="600" w:hanging="599"/>
        <w:spacing w:after="0"/>
        <w:tabs>
          <w:tab w:leader="none" w:pos="6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Viomi Technology Co., Ltd;</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1220" w:hanging="614"/>
        <w:spacing w:after="0" w:line="261" w:lineRule="auto"/>
        <w:tabs>
          <w:tab w:leader="none" w:pos="1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0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April 22, 2026</w:t>
            </w:r>
          </w:p>
        </w:tc>
      </w:tr>
      <w:tr>
        <w:trPr>
          <w:trHeight w:val="403"/>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74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/s/ Xiaoping Chen</w:t>
            </w:r>
          </w:p>
        </w:tc>
      </w:tr>
      <w:tr>
        <w:trPr>
          <w:trHeight w:val="178"/>
        </w:trPr>
        <w:tc>
          <w:tcPr>
            <w:tcW w:w="5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60" w:type="dxa"/>
            <w:vAlign w:val="bottom"/>
          </w:tcPr>
          <w:p>
            <w:pPr>
              <w:spacing w:after="0"/>
              <w:rPr>
                <w:sz w:val="15"/>
                <w:szCs w:val="15"/>
                <w:color w:val="auto"/>
              </w:rPr>
            </w:pPr>
          </w:p>
        </w:tc>
        <w:tc>
          <w:tcPr>
            <w:tcW w:w="10680" w:type="dxa"/>
            <w:vAlign w:val="bottom"/>
            <w:tcBorders>
              <w:top w:val="single" w:sz="8" w:color="auto"/>
            </w:tcBorders>
          </w:tcPr>
          <w:p>
            <w:pPr>
              <w:ind w:left="60"/>
              <w:spacing w:after="0" w:line="178" w:lineRule="exact"/>
              <w:rPr>
                <w:sz w:val="20"/>
                <w:szCs w:val="20"/>
                <w:color w:val="auto"/>
              </w:rPr>
            </w:pPr>
            <w:r>
              <w:rPr>
                <w:rFonts w:ascii="Times New Roman" w:cs="Times New Roman" w:eastAsia="Times New Roman" w:hAnsi="Times New Roman"/>
                <w:sz w:val="17"/>
                <w:szCs w:val="17"/>
                <w:color w:val="auto"/>
              </w:rPr>
              <w:t>Xiaoping Chen</w:t>
            </w:r>
          </w:p>
        </w:tc>
      </w:tr>
      <w:tr>
        <w:trPr>
          <w:trHeight w:val="218"/>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Chief Executive Officer (Principal Financial Officer)</w:t>
            </w:r>
          </w:p>
        </w:tc>
      </w:tr>
      <w:tr>
        <w:trPr>
          <w:trHeight w:val="404"/>
        </w:trPr>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of Viomi Technology Co., Ltd (the “Company”) on Form 20-F for the year ended December 31, 2025 as filed with the Securities and Exchange Commission on the date hereof (the “Report”), I, Xiaoping Chen, Chief Executive Officer of the Company, certify, pursuant to 18 U.S.C. Section 1350, as adopted pursuant to Section 906 of the Sarbanes-Oxley Act of 2002, that to my knowledge:</w:t>
      </w:r>
    </w:p>
    <w:p>
      <w:pPr>
        <w:spacing w:after="0" w:line="169" w:lineRule="exact"/>
        <w:rPr>
          <w:sz w:val="20"/>
          <w:szCs w:val="20"/>
          <w:color w:val="auto"/>
        </w:rPr>
      </w:pPr>
    </w:p>
    <w:p>
      <w:pPr>
        <w:ind w:left="600" w:hanging="599"/>
        <w:spacing w:after="0"/>
        <w:tabs>
          <w:tab w:leader="none" w:pos="60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right="880" w:firstLine="1"/>
        <w:spacing w:after="0" w:line="492" w:lineRule="auto"/>
        <w:tabs>
          <w:tab w:leader="none" w:pos="60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April 22, 2026</w:t>
      </w:r>
    </w:p>
    <w:p>
      <w:pPr>
        <w:spacing w:after="0" w:line="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Xiaoping Chen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Xiaoping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Financial Officer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of Viomi Technology Co., Ltd (the “Company”) on Form 20-F for the year ended December 31, 2025 as filed with the Securities and Exchange Commission on the date hereof (the “Report”), I, Xiaoping Chen, Chief Executive Officer (Principal Financial Officer) of the Company, certify, pursuant to 18 U.S.C. Section 1350, as adopted pursuant to Section 906 of the Sarbanes-Oxley Act of 2002, that to my knowledge:</w:t>
      </w:r>
    </w:p>
    <w:p>
      <w:pPr>
        <w:spacing w:after="0" w:line="169" w:lineRule="exact"/>
        <w:rPr>
          <w:sz w:val="20"/>
          <w:szCs w:val="20"/>
          <w:color w:val="auto"/>
        </w:rPr>
      </w:pPr>
    </w:p>
    <w:p>
      <w:pPr>
        <w:ind w:left="600" w:hanging="599"/>
        <w:spacing w:after="0"/>
        <w:tabs>
          <w:tab w:leader="none" w:pos="60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right="880" w:firstLine="1"/>
        <w:spacing w:after="0" w:line="492" w:lineRule="auto"/>
        <w:tabs>
          <w:tab w:leader="none" w:pos="605"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April 22,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Xiaoping Chen</w:t>
            </w: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106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Xiaoping Chen</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06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(Principal Financial Officer)</w:t>
            </w:r>
          </w:p>
        </w:tc>
      </w:tr>
      <w:tr>
        <w:trPr>
          <w:trHeight w:val="404"/>
        </w:trPr>
        <w:tc>
          <w:tcPr>
            <w:tcW w:w="56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5708015" cy="5842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5708015" cy="58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To: Viomi Technology Co., Ltd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Wansheng Square, Rm 1302 Tower C, Xingang East Road, Haizhu District</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Guangzhou, Guangdong, 510220</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People’s Republic of China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Sir/Madam: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consent to the reference of our name under the headings “Item 3. Key Information—D. Risk Factors—Risks Related to Our Corporate Structure” and “Item</w:t>
      </w:r>
    </w:p>
    <w:p>
      <w:pPr>
        <w:spacing w:after="0" w:line="34" w:lineRule="exact"/>
        <w:rPr>
          <w:sz w:val="20"/>
          <w:szCs w:val="20"/>
          <w:color w:val="auto"/>
        </w:rPr>
      </w:pPr>
    </w:p>
    <w:p>
      <w:pPr>
        <w:jc w:val="both"/>
        <w:ind w:firstLine="1"/>
        <w:spacing w:after="0" w:line="249" w:lineRule="auto"/>
        <w:tabs>
          <w:tab w:leader="none" w:pos="178"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on the Company—C. Organizational Structure—Contractual Arrangements with Our VIEs and Their Shareholders” in the Company’s Annual Report on Form 20-F for the year ended December 31, 2025 (the “</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 which will be filed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in the month of April 2026. We also consent to the filing of this consent letter with the SEC as an exhibit to the Annual Report, and further consent to the incorporation by reference of the summaries of our opinions under these captions into the Company’s registration statement on Form S-8 (File No.333-230431) that was filed on March 22, 2019.</w:t>
      </w:r>
    </w:p>
    <w:p>
      <w:pPr>
        <w:spacing w:after="0" w:line="18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35706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7"/>
          <w:szCs w:val="17"/>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17145</wp:posOffset>
            </wp:positionV>
            <wp:extent cx="5764530" cy="9607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576453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ACCOUNTANTS</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 333-230431) of Viomi Technology Co., Ltd of our report dated April 22, 2026 relating to the financial statements, which appears in this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1400810" cy="4724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1400810" cy="47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WWC, P.C.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1171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3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1)"/>
      <w:numFmt w:val="decimal"/>
      <w:start w:val="1"/>
    </w:lvl>
  </w:abstractNum>
  <w:abstractNum w:abstractNumId="9">
    <w:nsid w:val="53584BCB"/>
    <w:multiLevelType w:val="hybridMultilevel"/>
    <w:lvl w:ilvl="0">
      <w:lvlJc w:val="left"/>
      <w:lvlText w:val="(%1)"/>
      <w:numFmt w:val="decimal"/>
      <w:start w:val="1"/>
    </w:lvl>
  </w:abstractNum>
  <w:abstractNum w:abstractNumId="10">
    <w:nsid w:val="415E286C"/>
    <w:multiLevelType w:val="hybridMultilevel"/>
    <w:lvl w:ilvl="0">
      <w:lvlJc w:val="left"/>
      <w:lvlText w:val="(%1)"/>
      <w:numFmt w:val="decimal"/>
      <w:start w:val="1"/>
    </w:lvl>
  </w:abstractNum>
  <w:abstractNum w:abstractNumId="11">
    <w:nsid w:val="7C58FD05"/>
    <w:multiLevelType w:val="hybridMultilevel"/>
    <w:lvl w:ilvl="0">
      <w:lvlJc w:val="left"/>
      <w:lvlText w:val="(%1)"/>
      <w:numFmt w:val="decimal"/>
      <w:start w:val="1"/>
    </w:lvl>
  </w:abstractNum>
  <w:abstractNum w:abstractNumId="12">
    <w:nsid w:val="23D86AAC"/>
    <w:multiLevelType w:val="hybridMultilevel"/>
    <w:lvl w:ilvl="0">
      <w:lvlJc w:val="left"/>
      <w:lvlText w:val="%1."/>
      <w:numFmt w:val="upperLetter"/>
      <w:start w:val="3"/>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1."/>
      <w:numFmt w:val="decimal"/>
      <w:start w:val="15"/>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1."/>
      <w:numFmt w:val="upperLetter"/>
      <w:start w:val="1"/>
    </w:lvl>
  </w:abstractNum>
  <w:abstractNum w:abstractNumId="26">
    <w:nsid w:val="6AA7B75C"/>
    <w:multiLevelType w:val="hybridMultilevel"/>
    <w:lvl w:ilvl="0">
      <w:lvlJc w:val="left"/>
      <w:lvlText w:val="%1."/>
      <w:numFmt w:val="upperLetter"/>
      <w:start w:val="2"/>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1)"/>
      <w:numFmt w:val="decimal"/>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1."/>
      <w:numFmt w:val="upperLetter"/>
      <w:start w:val="3"/>
    </w:lvl>
  </w:abstractNum>
  <w:abstractNum w:abstractNumId="32">
    <w:nsid w:val="5B25ACE2"/>
    <w:multiLevelType w:val="hybridMultilevel"/>
    <w:lvl w:ilvl="0">
      <w:lvlJc w:val="left"/>
      <w:lvlText w:val="(%1)"/>
      <w:numFmt w:val="decimal"/>
      <w:start w:val="1"/>
    </w:lvl>
  </w:abstractNum>
  <w:abstractNum w:abstractNumId="33">
    <w:nsid w:val="175DFCF0"/>
    <w:multiLevelType w:val="hybridMultilevel"/>
    <w:lvl w:ilvl="0">
      <w:lvlJc w:val="left"/>
      <w:lvlText w:val="(%1)"/>
      <w:numFmt w:val="lowerRoman"/>
      <w:start w:val="2"/>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1."/>
      <w:numFmt w:val="upperLetter"/>
      <w:start w:val="4"/>
    </w:lvl>
  </w:abstractNum>
  <w:abstractNum w:abstractNumId="36">
    <w:nsid w:val="34FD6B4F"/>
    <w:multiLevelType w:val="hybridMultilevel"/>
    <w:lvl w:ilvl="0">
      <w:lvlJc w:val="left"/>
      <w:lvlText w:val="%1."/>
      <w:numFmt w:val="upperLetter"/>
      <w:start w:val="1"/>
    </w:lvl>
  </w:abstractNum>
  <w:abstractNum w:abstractNumId="37">
    <w:nsid w:val="5915FF32"/>
    <w:multiLevelType w:val="hybridMultilevel"/>
    <w:lvl w:ilvl="0">
      <w:lvlJc w:val="left"/>
      <w:lvlText w:val="(%1)"/>
      <w:numFmt w:val="decimal"/>
      <w:start w:val="1"/>
    </w:lvl>
  </w:abstractNum>
  <w:abstractNum w:abstractNumId="38">
    <w:nsid w:val="56438D15"/>
    <w:multiLevelType w:val="hybridMultilevel"/>
    <w:lvl w:ilvl="0">
      <w:lvlJc w:val="left"/>
      <w:lvlText w:val="(%1)"/>
      <w:numFmt w:val="decimal"/>
      <w:start w:val="1"/>
    </w:lvl>
  </w:abstractNum>
  <w:abstractNum w:abstractNumId="39">
    <w:nsid w:val="519E3149"/>
    <w:multiLevelType w:val="hybridMultilevel"/>
    <w:lvl w:ilvl="0">
      <w:lvlJc w:val="left"/>
      <w:lvlText w:val="%1."/>
      <w:numFmt w:val="upperLetter"/>
      <w:start w:val="1"/>
    </w:lvl>
  </w:abstractNum>
  <w:abstractNum w:abstractNumId="40">
    <w:nsid w:val="2C6E4AFD"/>
    <w:multiLevelType w:val="hybridMultilevel"/>
    <w:lvl w:ilvl="0">
      <w:lvlJc w:val="left"/>
      <w:lvlText w:val="%1."/>
      <w:numFmt w:val="upperLetter"/>
      <w:start w:val="2"/>
    </w:lvl>
  </w:abstractNum>
  <w:abstractNum w:abstractNumId="41">
    <w:nsid w:val="17A1B582"/>
    <w:multiLevelType w:val="hybridMultilevel"/>
    <w:lvl w:ilvl="0">
      <w:lvlJc w:val="left"/>
      <w:lvlText w:val="%1."/>
      <w:numFmt w:val="upperLetter"/>
      <w:start w:val="3"/>
    </w:lvl>
  </w:abstractNum>
  <w:abstractNum w:abstractNumId="42">
    <w:nsid w:val="4DF72E4E"/>
    <w:multiLevelType w:val="hybridMultilevel"/>
    <w:lvl w:ilvl="0">
      <w:lvlJc w:val="left"/>
      <w:lvlText w:val="●"/>
      <w:numFmt w:val="bullet"/>
      <w:start w:val="1"/>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1."/>
      <w:numFmt w:val="upperLetter"/>
      <w:start w:val="4"/>
    </w:lvl>
  </w:abstractNum>
  <w:abstractNum w:abstractNumId="48">
    <w:nsid w:val="75E0858A"/>
    <w:multiLevelType w:val="hybridMultilevel"/>
    <w:lvl w:ilvl="0">
      <w:lvlJc w:val="left"/>
      <w:lvlText w:val="%1."/>
      <w:numFmt w:val="upperLetter"/>
      <w:start w:val="5"/>
    </w:lvl>
  </w:abstractNum>
  <w:abstractNum w:abstractNumId="49">
    <w:nsid w:val="57A61A29"/>
    <w:multiLevelType w:val="hybridMultilevel"/>
    <w:lvl w:ilvl="0">
      <w:lvlJc w:val="left"/>
      <w:lvlText w:val="●"/>
      <w:numFmt w:val="bullet"/>
      <w:start w:val="1"/>
    </w:lvl>
  </w:abstractNum>
  <w:abstractNum w:abstractNumId="50">
    <w:nsid w:val="5399C654"/>
    <w:multiLevelType w:val="hybridMultilevel"/>
    <w:lvl w:ilvl="0">
      <w:lvlJc w:val="left"/>
      <w:lvlText w:val="*"/>
      <w:numFmt w:val="bullet"/>
      <w:start w:val="1"/>
    </w:lvl>
  </w:abstractNum>
  <w:abstractNum w:abstractNumId="51">
    <w:nsid w:val="20EE1348"/>
    <w:multiLevelType w:val="hybridMultilevel"/>
    <w:lvl w:ilvl="0">
      <w:lvlJc w:val="left"/>
      <w:lvlText w:val="**"/>
      <w:numFmt w:val="bullet"/>
      <w:start w:val="1"/>
    </w:lvl>
  </w:abstractNum>
  <w:abstractNum w:abstractNumId="52">
    <w:nsid w:val="4427069A"/>
    <w:multiLevelType w:val="hybridMultilevel"/>
    <w:lvl w:ilvl="0">
      <w:lvlJc w:val="left"/>
      <w:lvlText w:val="(%1)"/>
      <w:numFmt w:val="decimal"/>
      <w:start w:val="1"/>
    </w:lvl>
  </w:abstractNum>
  <w:abstractNum w:abstractNumId="53">
    <w:nsid w:val="B37E80A"/>
    <w:multiLevelType w:val="hybridMultilevel"/>
    <w:lvl w:ilvl="0">
      <w:lvlJc w:val="left"/>
      <w:lvlText w:val="%1."/>
      <w:numFmt w:val="upperLetter"/>
      <w:start w:val="6"/>
    </w:lvl>
  </w:abstractNum>
  <w:abstractNum w:abstractNumId="54">
    <w:nsid w:val="2157F6BC"/>
    <w:multiLevelType w:val="hybridMultilevel"/>
    <w:lvl w:ilvl="0">
      <w:lvlJc w:val="left"/>
      <w:lvlText w:val="%1."/>
      <w:numFmt w:val="upperLetter"/>
      <w:start w:val="1"/>
    </w:lvl>
  </w:abstractNum>
  <w:abstractNum w:abstractNumId="55">
    <w:nsid w:val="704E1DD5"/>
    <w:multiLevelType w:val="hybridMultilevel"/>
    <w:lvl w:ilvl="0">
      <w:lvlJc w:val="left"/>
      <w:lvlText w:val="%1."/>
      <w:numFmt w:val="upperLetter"/>
      <w:start w:val="2"/>
    </w:lvl>
  </w:abstractNum>
  <w:abstractNum w:abstractNumId="56">
    <w:nsid w:val="57D2F10E"/>
    <w:multiLevelType w:val="hybridMultilevel"/>
    <w:lvl w:ilvl="0">
      <w:lvlJc w:val="left"/>
      <w:lvlText w:val="%1."/>
      <w:numFmt w:val="upperLetter"/>
      <w:start w:val="3"/>
    </w:lvl>
  </w:abstractNum>
  <w:abstractNum w:abstractNumId="57">
    <w:nsid w:val="BFFAE18"/>
    <w:multiLevelType w:val="hybridMultilevel"/>
    <w:lvl w:ilvl="0">
      <w:lvlJc w:val="left"/>
      <w:lvlText w:val="%1."/>
      <w:numFmt w:val="upperLetter"/>
      <w:start w:val="1"/>
    </w:lvl>
  </w:abstractNum>
  <w:abstractNum w:abstractNumId="58">
    <w:nsid w:val="E3E47A8"/>
    <w:multiLevelType w:val="hybridMultilevel"/>
    <w:lvl w:ilvl="0">
      <w:lvlJc w:val="left"/>
      <w:lvlText w:val="%1."/>
      <w:numFmt w:val="upperLetter"/>
      <w:start w:val="2"/>
    </w:lvl>
  </w:abstractNum>
  <w:abstractNum w:abstractNumId="59">
    <w:nsid w:val="2E48F044"/>
    <w:multiLevelType w:val="hybridMultilevel"/>
    <w:lvl w:ilvl="0">
      <w:lvlJc w:val="left"/>
      <w:lvlText w:val="%1."/>
      <w:numFmt w:val="upperLetter"/>
      <w:start w:val="1"/>
    </w:lvl>
  </w:abstractNum>
  <w:abstractNum w:abstractNumId="60">
    <w:nsid w:val="49D0FEAC"/>
    <w:multiLevelType w:val="hybridMultilevel"/>
    <w:lvl w:ilvl="0">
      <w:lvlJc w:val="left"/>
      <w:lvlText w:val="%1."/>
      <w:numFmt w:val="upperLetter"/>
      <w:start w:val="2"/>
    </w:lvl>
  </w:abstractNum>
  <w:abstractNum w:abstractNumId="61">
    <w:nsid w:val="4BEE5A5B"/>
    <w:multiLevelType w:val="hybridMultilevel"/>
    <w:lvl w:ilvl="0">
      <w:lvlJc w:val="left"/>
      <w:lvlText w:val="%1."/>
      <w:numFmt w:val="upperLetter"/>
      <w:start w:val="4"/>
    </w:lvl>
  </w:abstractNum>
  <w:abstractNum w:abstractNumId="62">
    <w:nsid w:val="5551B9F3"/>
    <w:multiLevelType w:val="hybridMultilevel"/>
    <w:lvl w:ilvl="0">
      <w:lvlJc w:val="left"/>
      <w:lvlText w:val="%1."/>
      <w:numFmt w:val="upperLetter"/>
      <w:start w:val="6"/>
    </w:lvl>
  </w:abstractNum>
  <w:abstractNum w:abstractNumId="63">
    <w:nsid w:val="24F6AB8E"/>
    <w:multiLevelType w:val="hybridMultilevel"/>
    <w:lvl w:ilvl="0">
      <w:lvlJc w:val="left"/>
      <w:lvlText w:val="%1."/>
      <w:numFmt w:val="upperLetter"/>
      <w:start w:val="1"/>
    </w:lvl>
  </w:abstractNum>
  <w:abstractNum w:abstractNumId="64">
    <w:nsid w:val="634C574C"/>
    <w:multiLevelType w:val="hybridMultilevel"/>
    <w:lvl w:ilvl="0">
      <w:lvlJc w:val="left"/>
      <w:lvlText w:val="%1."/>
      <w:numFmt w:val="upperLetter"/>
      <w:start w:val="2"/>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
      <w:numFmt w:val="bullet"/>
      <w:start w:val="1"/>
    </w:lvl>
  </w:abstractNum>
  <w:abstractNum w:abstractNumId="67">
    <w:nsid w:val="1849C29B"/>
    <w:multiLevelType w:val="hybridMultilevel"/>
    <w:lvl w:ilvl="0">
      <w:lvlJc w:val="left"/>
      <w:lvlText w:val="●"/>
      <w:numFmt w:val="bullet"/>
      <w:start w:val="1"/>
    </w:lvl>
  </w:abstractNum>
  <w:abstractNum w:abstractNumId="68">
    <w:nsid w:val="7DFF9D09"/>
    <w:multiLevelType w:val="hybridMultilevel"/>
    <w:lvl w:ilvl="0">
      <w:lvlJc w:val="left"/>
      <w:lvlText w:val="●"/>
      <w:numFmt w:val="bullet"/>
      <w:start w:val="1"/>
    </w:lvl>
  </w:abstractNum>
  <w:abstractNum w:abstractNumId="69">
    <w:nsid w:val="754342"/>
    <w:multiLevelType w:val="hybridMultilevel"/>
    <w:lvl w:ilvl="0">
      <w:lvlJc w:val="left"/>
      <w:lvlText w:val="●"/>
      <w:numFmt w:val="bullet"/>
      <w:start w:val="1"/>
    </w:lvl>
  </w:abstractNum>
  <w:abstractNum w:abstractNumId="70">
    <w:nsid w:val="69E7F3E5"/>
    <w:multiLevelType w:val="hybridMultilevel"/>
    <w:lvl w:ilvl="0">
      <w:lvlJc w:val="left"/>
      <w:lvlText w:val="%1."/>
      <w:numFmt w:val="upperLetter"/>
      <w:start w:val="3"/>
    </w:lvl>
  </w:abstractNum>
  <w:abstractNum w:abstractNumId="71">
    <w:nsid w:val="2A6DE806"/>
    <w:multiLevelType w:val="hybridMultilevel"/>
    <w:lvl w:ilvl="0">
      <w:lvlJc w:val="left"/>
      <w:lvlText w:val="%1."/>
      <w:numFmt w:val="upperLetter"/>
      <w:start w:val="4"/>
    </w:lvl>
  </w:abstractNum>
  <w:abstractNum w:abstractNumId="72">
    <w:nsid w:val="1816F8C4"/>
    <w:multiLevelType w:val="hybridMultilevel"/>
    <w:lvl w:ilvl="0">
      <w:lvlJc w:val="left"/>
      <w:lvlText w:val="%1."/>
      <w:numFmt w:val="upperLetter"/>
      <w:start w:val="5"/>
    </w:lvl>
  </w:abstractNum>
  <w:abstractNum w:abstractNumId="73">
    <w:nsid w:val="37DF2233"/>
    <w:multiLevelType w:val="hybridMultilevel"/>
    <w:lvl w:ilvl="0">
      <w:lvlJc w:val="left"/>
      <w:lvlText w:val="(%1)"/>
      <w:numFmt w:val="lowerRoman"/>
      <w:start w:val="3"/>
    </w:lvl>
  </w:abstractNum>
  <w:abstractNum w:abstractNumId="74">
    <w:nsid w:val="7AB49DAF"/>
    <w:multiLevelType w:val="hybridMultilevel"/>
    <w:lvl w:ilvl="0">
      <w:lvlJc w:val="left"/>
      <w:lvlText w:val="●"/>
      <w:numFmt w:val="bullet"/>
      <w:start w:val="1"/>
    </w:lvl>
  </w:abstractNum>
  <w:abstractNum w:abstractNumId="75">
    <w:nsid w:val="759F82CD"/>
    <w:multiLevelType w:val="hybridMultilevel"/>
    <w:lvl w:ilvl="0">
      <w:lvlJc w:val="left"/>
      <w:lvlText w:val="●"/>
      <w:numFmt w:val="bullet"/>
      <w:start w:val="1"/>
    </w:lvl>
  </w:abstractNum>
  <w:abstractNum w:abstractNumId="76">
    <w:nsid w:val="61E74EA3"/>
    <w:multiLevelType w:val="hybridMultilevel"/>
    <w:lvl w:ilvl="0">
      <w:lvlJc w:val="left"/>
      <w:lvlText w:val="●"/>
      <w:numFmt w:val="bullet"/>
      <w:start w:val="1"/>
    </w:lvl>
  </w:abstractNum>
  <w:abstractNum w:abstractNumId="77">
    <w:nsid w:val="597B4D84"/>
    <w:multiLevelType w:val="hybridMultilevel"/>
    <w:lvl w:ilvl="0">
      <w:lvlJc w:val="left"/>
      <w:lvlText w:val="%1."/>
      <w:numFmt w:val="upperLetter"/>
      <w:start w:val="6"/>
    </w:lvl>
  </w:abstractNum>
  <w:abstractNum w:abstractNumId="78">
    <w:nsid w:val="F819E7F"/>
    <w:multiLevelType w:val="hybridMultilevel"/>
    <w:lvl w:ilvl="0">
      <w:lvlJc w:val="left"/>
      <w:lvlText w:val="%1."/>
      <w:numFmt w:val="upperLetter"/>
      <w:start w:val="8"/>
    </w:lvl>
  </w:abstractNum>
  <w:abstractNum w:abstractNumId="79">
    <w:nsid w:val="57C7D42D"/>
    <w:multiLevelType w:val="hybridMultilevel"/>
    <w:lvl w:ilvl="0">
      <w:lvlJc w:val="left"/>
      <w:lvlText w:val="%1."/>
      <w:numFmt w:val="upperLetter"/>
      <w:start w:val="9"/>
    </w:lvl>
  </w:abstractNum>
  <w:abstractNum w:abstractNumId="80">
    <w:nsid w:val="312167AD"/>
    <w:multiLevelType w:val="hybridMultilevel"/>
    <w:lvl w:ilvl="0">
      <w:lvlJc w:val="left"/>
      <w:lvlText w:val="%1."/>
      <w:numFmt w:val="upperLetter"/>
      <w:start w:val="1"/>
    </w:lvl>
  </w:abstractNum>
  <w:abstractNum w:abstractNumId="81">
    <w:nsid w:val="631B64D4"/>
    <w:multiLevelType w:val="hybridMultilevel"/>
    <w:lvl w:ilvl="0">
      <w:lvlJc w:val="left"/>
      <w:lvlText w:val="%1."/>
      <w:numFmt w:val="upperLetter"/>
      <w:start w:val="3"/>
    </w:lvl>
  </w:abstractNum>
  <w:abstractNum w:abstractNumId="82">
    <w:nsid w:val="78B5E776"/>
    <w:multiLevelType w:val="hybridMultilevel"/>
    <w:lvl w:ilvl="0">
      <w:lvlJc w:val="left"/>
      <w:lvlText w:val="●"/>
      <w:numFmt w:val="bullet"/>
      <w:start w:val="1"/>
    </w:lvl>
  </w:abstractNum>
  <w:abstractNum w:abstractNumId="83">
    <w:nsid w:val="75486E47"/>
    <w:multiLevelType w:val="hybridMultilevel"/>
    <w:lvl w:ilvl="0">
      <w:lvlJc w:val="left"/>
      <w:lvlText w:val="●"/>
      <w:numFmt w:val="bullet"/>
      <w:start w:val="1"/>
    </w:lvl>
  </w:abstractNum>
  <w:abstractNum w:abstractNumId="84">
    <w:nsid w:val="6E534CDE"/>
    <w:multiLevelType w:val="hybridMultilevel"/>
    <w:lvl w:ilvl="0">
      <w:lvlJc w:val="left"/>
      <w:lvlText w:val="●"/>
      <w:numFmt w:val="bullet"/>
      <w:start w:val="1"/>
    </w:lvl>
  </w:abstractNum>
  <w:abstractNum w:abstractNumId="85">
    <w:nsid w:val="1A0DDE32"/>
    <w:multiLevelType w:val="hybridMultilevel"/>
    <w:lvl w:ilvl="0">
      <w:lvlJc w:val="left"/>
      <w:lvlText w:val="(%1)"/>
      <w:numFmt w:val="decimal"/>
      <w:start w:val="1"/>
    </w:lvl>
  </w:abstractNum>
  <w:abstractNum w:abstractNumId="86">
    <w:nsid w:val="65968C1C"/>
    <w:multiLevelType w:val="hybridMultilevel"/>
    <w:lvl w:ilvl="0">
      <w:lvlJc w:val="left"/>
      <w:lvlText w:val="%1."/>
      <w:numFmt w:val="decimal"/>
      <w:start w:val="1"/>
    </w:lvl>
  </w:abstractNum>
  <w:abstractNum w:abstractNumId="87">
    <w:nsid w:val="46263DEC"/>
    <w:multiLevelType w:val="hybridMultilevel"/>
    <w:lvl w:ilvl="0">
      <w:lvlJc w:val="left"/>
      <w:lvlText w:val="(%1)"/>
      <w:numFmt w:val="lowerLetter"/>
      <w:start w:val="1"/>
    </w:lvl>
    <w:lvl w:ilvl="1">
      <w:lvlJc w:val="left"/>
      <w:lvlText w:val="●"/>
      <w:numFmt w:val="bullet"/>
      <w:start w:val="1"/>
    </w:lvl>
  </w:abstractNum>
  <w:abstractNum w:abstractNumId="88">
    <w:nsid w:val="260D8C4A"/>
    <w:multiLevelType w:val="hybridMultilevel"/>
    <w:lvl w:ilvl="0">
      <w:lvlJc w:val="left"/>
      <w:lvlText w:val="%1."/>
      <w:numFmt w:val="decimal"/>
      <w:start w:val="1"/>
    </w:lvl>
  </w:abstractNum>
  <w:abstractNum w:abstractNumId="89">
    <w:nsid w:val="73D4D3C4"/>
    <w:multiLevelType w:val="hybridMultilevel"/>
    <w:lvl w:ilvl="0">
      <w:lvlJc w:val="left"/>
      <w:lvlText w:val="(%1)"/>
      <w:numFmt w:val="lowerLetter"/>
      <w:start w:val="2"/>
    </w:lvl>
  </w:abstractNum>
  <w:abstractNum w:abstractNumId="90">
    <w:nsid w:val="746F2E30"/>
    <w:multiLevelType w:val="hybridMultilevel"/>
    <w:lvl w:ilvl="0">
      <w:lvlJc w:val="left"/>
      <w:lvlText w:val="%1."/>
      <w:numFmt w:val="decimal"/>
      <w:start w:val="1"/>
    </w:lvl>
  </w:abstractNum>
  <w:abstractNum w:abstractNumId="91">
    <w:nsid w:val="6FDE8AF6"/>
    <w:multiLevelType w:val="hybridMultilevel"/>
    <w:lvl w:ilvl="0">
      <w:lvlJc w:val="left"/>
      <w:lvlText w:val="(%1)"/>
      <w:numFmt w:val="lowerLetter"/>
      <w:start w:val="3"/>
    </w:lvl>
  </w:abstractNum>
  <w:abstractNum w:abstractNumId="92">
    <w:nsid w:val="3FC32E20"/>
    <w:multiLevelType w:val="hybridMultilevel"/>
    <w:lvl w:ilvl="0">
      <w:lvlJc w:val="left"/>
      <w:lvlText w:val="%1."/>
      <w:numFmt w:val="decimal"/>
      <w:start w:val="1"/>
    </w:lvl>
  </w:abstractNum>
  <w:abstractNum w:abstractNumId="93">
    <w:nsid w:val="49C0E823"/>
    <w:multiLevelType w:val="hybridMultilevel"/>
    <w:lvl w:ilvl="0">
      <w:lvlJc w:val="left"/>
      <w:lvlText w:val="(%1)"/>
      <w:numFmt w:val="lowerLetter"/>
      <w:start w:val="3"/>
    </w:lvl>
  </w:abstractNum>
  <w:abstractNum w:abstractNumId="94">
    <w:nsid w:val="14D53685"/>
    <w:multiLevelType w:val="hybridMultilevel"/>
    <w:lvl w:ilvl="0">
      <w:lvlJc w:val="left"/>
      <w:lvlText w:val="%1."/>
      <w:numFmt w:val="decimal"/>
      <w:start w:val="1"/>
    </w:lvl>
  </w:abstractNum>
  <w:abstractNum w:abstractNumId="95">
    <w:nsid w:val="230F856C"/>
    <w:multiLevelType w:val="hybridMultilevel"/>
    <w:lvl w:ilvl="0">
      <w:lvlJc w:val="left"/>
      <w:lvlText w:val="(%1)"/>
      <w:numFmt w:val="lowerLetter"/>
      <w:start w:val="3"/>
    </w:lvl>
  </w:abstractNum>
  <w:abstractNum w:abstractNumId="96">
    <w:nsid w:val="6EAA85FB"/>
    <w:multiLevelType w:val="hybridMultilevel"/>
    <w:lvl w:ilvl="0">
      <w:lvlJc w:val="left"/>
      <w:lvlText w:val="%1."/>
      <w:numFmt w:val="decimal"/>
      <w:start w:val="1"/>
    </w:lvl>
  </w:abstractNum>
  <w:abstractNum w:abstractNumId="97">
    <w:nsid w:val="3F06ECB2"/>
    <w:multiLevelType w:val="hybridMultilevel"/>
    <w:lvl w:ilvl="0">
      <w:lvlJc w:val="left"/>
      <w:lvlText w:val="(%1)"/>
      <w:numFmt w:val="lowerLetter"/>
      <w:start w:val="3"/>
    </w:lvl>
  </w:abstractNum>
  <w:abstractNum w:abstractNumId="98">
    <w:nsid w:val="3B594807"/>
    <w:multiLevelType w:val="hybridMultilevel"/>
    <w:lvl w:ilvl="0">
      <w:lvlJc w:val="left"/>
      <w:lvlText w:val="%1."/>
      <w:numFmt w:val="decimal"/>
      <w:start w:val="1"/>
    </w:lvl>
  </w:abstractNum>
  <w:abstractNum w:abstractNumId="99">
    <w:nsid w:val="6CAA2304"/>
    <w:multiLevelType w:val="hybridMultilevel"/>
    <w:lvl w:ilvl="0">
      <w:lvlJc w:val="left"/>
      <w:lvlText w:val="(%1)"/>
      <w:numFmt w:val="lowerLetter"/>
      <w:start w:val="3"/>
    </w:lvl>
    <w:lvl w:ilvl="1">
      <w:lvlJc w:val="left"/>
      <w:lvlText w:val="●"/>
      <w:numFmt w:val="bullet"/>
      <w:start w:val="1"/>
    </w:lvl>
  </w:abstractNum>
  <w:abstractNum w:abstractNumId="100">
    <w:nsid w:val="3F7C2FF4"/>
    <w:multiLevelType w:val="hybridMultilevel"/>
    <w:lvl w:ilvl="0">
      <w:lvlJc w:val="left"/>
      <w:lvlText w:val="%1."/>
      <w:numFmt w:val="decimal"/>
      <w:start w:val="1"/>
    </w:lvl>
  </w:abstractNum>
  <w:abstractNum w:abstractNumId="101">
    <w:nsid w:val="25413BEC"/>
    <w:multiLevelType w:val="hybridMultilevel"/>
    <w:lvl w:ilvl="0">
      <w:lvlJc w:val="left"/>
      <w:lvlText w:val="(%1)"/>
      <w:numFmt w:val="lowerLetter"/>
      <w:start w:val="3"/>
    </w:lvl>
  </w:abstractNum>
  <w:abstractNum w:abstractNumId="102">
    <w:nsid w:val="17180B0B"/>
    <w:multiLevelType w:val="hybridMultilevel"/>
    <w:lvl w:ilvl="0">
      <w:lvlJc w:val="left"/>
      <w:lvlText w:val="%1."/>
      <w:numFmt w:val="decimal"/>
      <w:start w:val="1"/>
    </w:lvl>
  </w:abstractNum>
  <w:abstractNum w:abstractNumId="103">
    <w:nsid w:val="579328B9"/>
    <w:multiLevelType w:val="hybridMultilevel"/>
    <w:lvl w:ilvl="0">
      <w:lvlJc w:val="left"/>
      <w:lvlText w:val="(%1)"/>
      <w:numFmt w:val="lowerLetter"/>
      <w:start w:val="3"/>
    </w:lvl>
  </w:abstractNum>
  <w:abstractNum w:abstractNumId="104">
    <w:nsid w:val="5D205E20"/>
    <w:multiLevelType w:val="hybridMultilevel"/>
    <w:lvl w:ilvl="0">
      <w:lvlJc w:val="left"/>
      <w:lvlText w:val="(%1)"/>
      <w:numFmt w:val="decimal"/>
      <w:start w:val="1"/>
    </w:lvl>
  </w:abstractNum>
  <w:abstractNum w:abstractNumId="105">
    <w:nsid w:val="11CCA8BA"/>
    <w:multiLevelType w:val="hybridMultilevel"/>
    <w:lvl w:ilvl="0">
      <w:lvlJc w:val="left"/>
      <w:lvlText w:val="%1."/>
      <w:numFmt w:val="decimal"/>
      <w:start w:val="2"/>
    </w:lvl>
  </w:abstractNum>
  <w:abstractNum w:abstractNumId="106">
    <w:nsid w:val="4D32AB86"/>
    <w:multiLevelType w:val="hybridMultilevel"/>
    <w:lvl w:ilvl="0">
      <w:lvlJc w:val="left"/>
      <w:lvlText w:val="(%1)"/>
      <w:numFmt w:val="lowerLetter"/>
      <w:start w:val="1"/>
    </w:lvl>
  </w:abstractNum>
  <w:abstractNum w:abstractNumId="107">
    <w:nsid w:val="3F07ACC3"/>
    <w:multiLevelType w:val="hybridMultilevel"/>
    <w:lvl w:ilvl="0">
      <w:lvlJc w:val="left"/>
      <w:lvlText w:val="%1."/>
      <w:numFmt w:val="decimal"/>
      <w:start w:val="2"/>
    </w:lvl>
  </w:abstractNum>
  <w:abstractNum w:abstractNumId="108">
    <w:nsid w:val="6B47F63E"/>
    <w:multiLevelType w:val="hybridMultilevel"/>
    <w:lvl w:ilvl="0">
      <w:lvlJc w:val="left"/>
      <w:lvlText w:val="(%1)"/>
      <w:numFmt w:val="lowerLetter"/>
      <w:start w:val="4"/>
    </w:lvl>
    <w:lvl w:ilvl="1">
      <w:lvlJc w:val="left"/>
      <w:lvlText w:val="%2)"/>
      <w:numFmt w:val="lowerRoman"/>
      <w:start w:val="1"/>
    </w:lvl>
  </w:abstractNum>
  <w:abstractNum w:abstractNumId="109">
    <w:nsid w:val="5CB44A05"/>
    <w:multiLevelType w:val="hybridMultilevel"/>
    <w:lvl w:ilvl="0">
      <w:lvlJc w:val="left"/>
      <w:lvlText w:val="%1."/>
      <w:numFmt w:val="decimal"/>
      <w:start w:val="2"/>
    </w:lvl>
  </w:abstractNum>
  <w:abstractNum w:abstractNumId="110">
    <w:nsid w:val="16CF80F1"/>
    <w:multiLevelType w:val="hybridMultilevel"/>
    <w:lvl w:ilvl="0">
      <w:lvlJc w:val="left"/>
      <w:lvlText w:val="(%1)"/>
      <w:numFmt w:val="lowerLetter"/>
      <w:start w:val="8"/>
    </w:lvl>
  </w:abstractNum>
  <w:abstractNum w:abstractNumId="111">
    <w:nsid w:val="1C695DEC"/>
    <w:multiLevelType w:val="hybridMultilevel"/>
    <w:lvl w:ilvl="0">
      <w:lvlJc w:val="left"/>
      <w:lvlText w:val="%1."/>
      <w:numFmt w:val="decimal"/>
      <w:start w:val="2"/>
    </w:lvl>
  </w:abstractNum>
  <w:abstractNum w:abstractNumId="112">
    <w:nsid w:val="3FCFAED9"/>
    <w:multiLevelType w:val="hybridMultilevel"/>
    <w:lvl w:ilvl="0">
      <w:lvlJc w:val="left"/>
      <w:lvlText w:val="(%1)"/>
      <w:numFmt w:val="lowerLetter"/>
      <w:start w:val="12"/>
    </w:lvl>
  </w:abstractNum>
  <w:abstractNum w:abstractNumId="113">
    <w:nsid w:val="F856867"/>
    <w:multiLevelType w:val="hybridMultilevel"/>
    <w:lvl w:ilvl="0">
      <w:lvlJc w:val="left"/>
      <w:lvlText w:val="(%1)"/>
      <w:numFmt w:val="lowerLetter"/>
      <w:start w:val="14"/>
    </w:lvl>
  </w:abstractNum>
  <w:abstractNum w:abstractNumId="114">
    <w:nsid w:val="11B1CC33"/>
    <w:multiLevelType w:val="hybridMultilevel"/>
    <w:lvl w:ilvl="0">
      <w:lvlJc w:val="left"/>
      <w:lvlText w:val="%1."/>
      <w:numFmt w:val="decimal"/>
      <w:start w:val="2"/>
    </w:lvl>
  </w:abstractNum>
  <w:abstractNum w:abstractNumId="115">
    <w:nsid w:val="2E22FBB7"/>
    <w:multiLevelType w:val="hybridMultilevel"/>
    <w:lvl w:ilvl="0">
      <w:lvlJc w:val="left"/>
      <w:lvlText w:val="(%1)"/>
      <w:numFmt w:val="lowerLetter"/>
      <w:start w:val="15"/>
    </w:lvl>
  </w:abstractNum>
  <w:abstractNum w:abstractNumId="116">
    <w:nsid w:val="29934699"/>
    <w:multiLevelType w:val="hybridMultilevel"/>
    <w:lvl w:ilvl="0">
      <w:lvlJc w:val="left"/>
      <w:lvlText w:val="(%1)"/>
      <w:numFmt w:val="lowerLetter"/>
      <w:start w:val="18"/>
    </w:lvl>
  </w:abstractNum>
  <w:abstractNum w:abstractNumId="117">
    <w:nsid w:val="77485850"/>
    <w:multiLevelType w:val="hybridMultilevel"/>
    <w:lvl w:ilvl="0">
      <w:lvlJc w:val="left"/>
      <w:lvlText w:val="%1."/>
      <w:numFmt w:val="decimal"/>
      <w:start w:val="2"/>
    </w:lvl>
  </w:abstractNum>
  <w:abstractNum w:abstractNumId="118">
    <w:nsid w:val="744939A3"/>
    <w:multiLevelType w:val="hybridMultilevel"/>
    <w:lvl w:ilvl="0">
      <w:lvlJc w:val="left"/>
      <w:lvlText w:val="(%1)"/>
      <w:numFmt w:val="lowerLetter"/>
      <w:start w:val="18"/>
    </w:lvl>
    <w:lvl w:ilvl="1">
      <w:lvlJc w:val="left"/>
      <w:lvlText w:val="%2)"/>
      <w:numFmt w:val="decimal"/>
      <w:start w:val="1"/>
    </w:lvl>
  </w:abstractNum>
  <w:abstractNum w:abstractNumId="119">
    <w:nsid w:val="4FA0D2E3"/>
    <w:multiLevelType w:val="hybridMultilevel"/>
    <w:lvl w:ilvl="0">
      <w:lvlJc w:val="left"/>
      <w:lvlText w:val="%1."/>
      <w:numFmt w:val="decimal"/>
      <w:start w:val="2"/>
    </w:lvl>
  </w:abstractNum>
  <w:abstractNum w:abstractNumId="120">
    <w:nsid w:val="6B1D2C14"/>
    <w:multiLevelType w:val="hybridMultilevel"/>
    <w:lvl w:ilvl="0">
      <w:lvlJc w:val="left"/>
      <w:lvlText w:val="(%1)"/>
      <w:numFmt w:val="lowerLetter"/>
      <w:start w:val="19"/>
    </w:lvl>
    <w:lvl w:ilvl="1">
      <w:lvlJc w:val="left"/>
      <w:lvlText w:val="%2)"/>
      <w:numFmt w:val="lowerLetter"/>
      <w:start w:val="1"/>
    </w:lvl>
  </w:abstractNum>
  <w:abstractNum w:abstractNumId="121">
    <w:nsid w:val="68B867D3"/>
    <w:multiLevelType w:val="hybridMultilevel"/>
    <w:lvl w:ilvl="0">
      <w:lvlJc w:val="left"/>
      <w:lvlText w:val="%1)"/>
      <w:numFmt w:val="lowerLetter"/>
      <w:start w:val="2"/>
    </w:lvl>
  </w:abstractNum>
  <w:abstractNum w:abstractNumId="122">
    <w:nsid w:val="3F7F5DD9"/>
    <w:multiLevelType w:val="hybridMultilevel"/>
    <w:lvl w:ilvl="0">
      <w:lvlJc w:val="left"/>
      <w:lvlText w:val="%1."/>
      <w:numFmt w:val="decimal"/>
      <w:start w:val="2"/>
    </w:lvl>
  </w:abstractNum>
  <w:abstractNum w:abstractNumId="123">
    <w:nsid w:val="2AE05A34"/>
    <w:multiLevelType w:val="hybridMultilevel"/>
    <w:lvl w:ilvl="0">
      <w:lvlJc w:val="left"/>
      <w:lvlText w:val="(%1)"/>
      <w:numFmt w:val="lowerLetter"/>
      <w:start w:val="19"/>
    </w:lvl>
  </w:abstractNum>
  <w:abstractNum w:abstractNumId="124">
    <w:nsid w:val="32794FF7"/>
    <w:multiLevelType w:val="hybridMultilevel"/>
    <w:lvl w:ilvl="0">
      <w:lvlJc w:val="left"/>
      <w:lvlText w:val="%1."/>
      <w:numFmt w:val="decimal"/>
      <w:start w:val="2"/>
    </w:lvl>
  </w:abstractNum>
  <w:abstractNum w:abstractNumId="125">
    <w:nsid w:val="5454945E"/>
    <w:multiLevelType w:val="hybridMultilevel"/>
    <w:lvl w:ilvl="0">
      <w:lvlJc w:val="left"/>
      <w:lvlText w:val="(%1)"/>
      <w:numFmt w:val="lowerLetter"/>
      <w:start w:val="19"/>
    </w:lvl>
  </w:abstractNum>
  <w:abstractNum w:abstractNumId="126">
    <w:nsid w:val="4DEFDFA0"/>
    <w:multiLevelType w:val="hybridMultilevel"/>
    <w:lvl w:ilvl="0">
      <w:lvlJc w:val="left"/>
      <w:lvlText w:val="%1)"/>
      <w:numFmt w:val="decimal"/>
      <w:start w:val="2"/>
    </w:lvl>
  </w:abstractNum>
  <w:abstractNum w:abstractNumId="127">
    <w:nsid w:val="2123D5F2"/>
    <w:multiLevelType w:val="hybridMultilevel"/>
    <w:lvl w:ilvl="0">
      <w:lvlJc w:val="left"/>
      <w:lvlText w:val="%1."/>
      <w:numFmt w:val="decimal"/>
      <w:start w:val="2"/>
    </w:lvl>
  </w:abstractNum>
  <w:abstractNum w:abstractNumId="128">
    <w:nsid w:val="135B8110"/>
    <w:multiLevelType w:val="hybridMultilevel"/>
    <w:lvl w:ilvl="0">
      <w:lvlJc w:val="left"/>
      <w:lvlText w:val="(%1)"/>
      <w:numFmt w:val="lowerLetter"/>
      <w:start w:val="19"/>
    </w:lvl>
  </w:abstractNum>
  <w:abstractNum w:abstractNumId="129">
    <w:nsid w:val="94927A8"/>
    <w:multiLevelType w:val="hybridMultilevel"/>
    <w:lvl w:ilvl="0">
      <w:lvlJc w:val="left"/>
      <w:lvlText w:val="%1)"/>
      <w:numFmt w:val="decimal"/>
      <w:start w:val="3"/>
    </w:lvl>
  </w:abstractNum>
  <w:abstractNum w:abstractNumId="130">
    <w:nsid w:val="DCDF8F6"/>
    <w:multiLevelType w:val="hybridMultilevel"/>
    <w:lvl w:ilvl="0">
      <w:lvlJc w:val="left"/>
      <w:lvlText w:val="%1."/>
      <w:numFmt w:val="decimal"/>
      <w:start w:val="2"/>
    </w:lvl>
  </w:abstractNum>
  <w:abstractNum w:abstractNumId="131">
    <w:nsid w:val="52D7B105"/>
    <w:multiLevelType w:val="hybridMultilevel"/>
    <w:lvl w:ilvl="0">
      <w:lvlJc w:val="left"/>
      <w:lvlText w:val="(%1)"/>
      <w:numFmt w:val="lowerLetter"/>
      <w:start w:val="19"/>
    </w:lvl>
  </w:abstractNum>
  <w:abstractNum w:abstractNumId="132">
    <w:nsid w:val="2E8A6394"/>
    <w:multiLevelType w:val="hybridMultilevel"/>
    <w:lvl w:ilvl="0">
      <w:lvlJc w:val="left"/>
      <w:lvlText w:val="%1."/>
      <w:numFmt w:val="decimal"/>
      <w:start w:val="2"/>
    </w:lvl>
  </w:abstractNum>
  <w:abstractNum w:abstractNumId="133">
    <w:nsid w:val="24E60401"/>
    <w:multiLevelType w:val="hybridMultilevel"/>
    <w:lvl w:ilvl="0">
      <w:lvlJc w:val="left"/>
      <w:lvlText w:val="(%1)"/>
      <w:numFmt w:val="lowerLetter"/>
      <w:start w:val="26"/>
    </w:lvl>
  </w:abstractNum>
  <w:abstractNum w:abstractNumId="134">
    <w:nsid w:val="2A6AD9BE"/>
    <w:multiLevelType w:val="hybridMultilevel"/>
    <w:lvl w:ilvl="0">
      <w:lvlJc w:val="left"/>
      <w:lvlText w:val="(%1)"/>
      <w:numFmt w:val="lowerLetter"/>
      <w:start w:val="27"/>
    </w:lvl>
  </w:abstractNum>
  <w:abstractNum w:abstractNumId="135">
    <w:nsid w:val="BAAC1B4"/>
    <w:multiLevelType w:val="hybridMultilevel"/>
    <w:lvl w:ilvl="0">
      <w:lvlJc w:val="left"/>
      <w:lvlText w:val="(%1)"/>
      <w:numFmt w:val="lowerLetter"/>
      <w:start w:val="28"/>
    </w:lvl>
  </w:abstractNum>
  <w:abstractNum w:abstractNumId="136">
    <w:nsid w:val="36B2ACBC"/>
    <w:multiLevelType w:val="hybridMultilevel"/>
    <w:lvl w:ilvl="0">
      <w:lvlJc w:val="left"/>
      <w:lvlText w:val="%1."/>
      <w:numFmt w:val="decimal"/>
      <w:start w:val="2"/>
    </w:lvl>
  </w:abstractNum>
  <w:abstractNum w:abstractNumId="137">
    <w:nsid w:val="779D8544"/>
    <w:multiLevelType w:val="hybridMultilevel"/>
    <w:lvl w:ilvl="0">
      <w:lvlJc w:val="left"/>
      <w:lvlText w:val="(%1)"/>
      <w:numFmt w:val="lowerLetter"/>
      <w:start w:val="28"/>
    </w:lvl>
  </w:abstractNum>
  <w:abstractNum w:abstractNumId="138">
    <w:nsid w:val="4AB26E78"/>
    <w:multiLevelType w:val="hybridMultilevel"/>
    <w:lvl w:ilvl="0">
      <w:lvlJc w:val="left"/>
      <w:lvlText w:val="%1."/>
      <w:numFmt w:val="decimal"/>
      <w:start w:val="2"/>
    </w:lvl>
  </w:abstractNum>
  <w:abstractNum w:abstractNumId="139">
    <w:nsid w:val="21FAA2FA"/>
    <w:multiLevelType w:val="hybridMultilevel"/>
    <w:lvl w:ilvl="0">
      <w:lvlJc w:val="left"/>
      <w:lvlText w:val="(%1)"/>
      <w:numFmt w:val="lowerLetter"/>
      <w:start w:val="30"/>
    </w:lvl>
  </w:abstractNum>
  <w:abstractNum w:abstractNumId="140">
    <w:nsid w:val="5451CF49"/>
    <w:multiLevelType w:val="hybridMultilevel"/>
    <w:lvl w:ilvl="0">
      <w:lvlJc w:val="left"/>
      <w:lvlText w:val="%1."/>
      <w:numFmt w:val="decimal"/>
      <w:start w:val="2"/>
    </w:lvl>
  </w:abstractNum>
  <w:abstractNum w:abstractNumId="141">
    <w:nsid w:val="6181EF69"/>
    <w:multiLevelType w:val="hybridMultilevel"/>
    <w:lvl w:ilvl="0">
      <w:lvlJc w:val="left"/>
      <w:lvlText w:val="(%1)"/>
      <w:numFmt w:val="lowerLetter"/>
      <w:start w:val="34"/>
    </w:lvl>
  </w:abstractNum>
  <w:abstractNum w:abstractNumId="142">
    <w:nsid w:val="3E6400E6"/>
    <w:multiLevelType w:val="hybridMultilevel"/>
    <w:lvl w:ilvl="0">
      <w:lvlJc w:val="left"/>
      <w:lvlText w:val="%1."/>
      <w:numFmt w:val="decimal"/>
      <w:start w:val="2"/>
    </w:lvl>
  </w:abstractNum>
  <w:abstractNum w:abstractNumId="143">
    <w:nsid w:val="14217E23"/>
    <w:multiLevelType w:val="hybridMultilevel"/>
    <w:lvl w:ilvl="0">
      <w:lvlJc w:val="left"/>
      <w:lvlText w:val="(%1)"/>
      <w:numFmt w:val="lowerRoman"/>
      <w:start w:val="2"/>
    </w:lvl>
  </w:abstractNum>
  <w:abstractNum w:abstractNumId="144">
    <w:nsid w:val="710757D0"/>
    <w:multiLevelType w:val="hybridMultilevel"/>
    <w:lvl w:ilvl="0">
      <w:lvlJc w:val="left"/>
      <w:lvlText w:val="%1."/>
      <w:numFmt w:val="decimal"/>
      <w:start w:val="3"/>
    </w:lvl>
  </w:abstractNum>
  <w:abstractNum w:abstractNumId="145">
    <w:nsid w:val="5015CD1A"/>
    <w:multiLevelType w:val="hybridMultilevel"/>
    <w:lvl w:ilvl="0">
      <w:lvlJc w:val="left"/>
      <w:lvlText w:val="%1."/>
      <w:numFmt w:val="decimal"/>
      <w:start w:val="3"/>
    </w:lvl>
  </w:abstractNum>
  <w:abstractNum w:abstractNumId="146">
    <w:nsid w:val="424479DA"/>
    <w:multiLevelType w:val="hybridMultilevel"/>
    <w:lvl w:ilvl="0">
      <w:lvlJc w:val="left"/>
      <w:lvlText w:val="%1."/>
      <w:numFmt w:val="decimal"/>
      <w:start w:val="4"/>
    </w:lvl>
  </w:abstractNum>
  <w:abstractNum w:abstractNumId="147">
    <w:nsid w:val="1A9A9E69"/>
    <w:multiLevelType w:val="hybridMultilevel"/>
    <w:lvl w:ilvl="0">
      <w:lvlJc w:val="left"/>
      <w:lvlText w:val="(%1)"/>
      <w:numFmt w:val="lowerLetter"/>
      <w:start w:val="1"/>
    </w:lvl>
  </w:abstractNum>
  <w:abstractNum w:abstractNumId="148">
    <w:nsid w:val="475E256A"/>
    <w:multiLevelType w:val="hybridMultilevel"/>
    <w:lvl w:ilvl="0">
      <w:lvlJc w:val="left"/>
      <w:lvlText w:val="%1."/>
      <w:numFmt w:val="decimal"/>
      <w:start w:val="4"/>
    </w:lvl>
  </w:abstractNum>
  <w:abstractNum w:abstractNumId="149">
    <w:nsid w:val="368DB37E"/>
    <w:multiLevelType w:val="hybridMultilevel"/>
    <w:lvl w:ilvl="0">
      <w:lvlJc w:val="left"/>
      <w:lvlText w:val="(%1)"/>
      <w:numFmt w:val="lowerLetter"/>
      <w:start w:val="3"/>
    </w:lvl>
  </w:abstractNum>
  <w:abstractNum w:abstractNumId="150">
    <w:nsid w:val="6A3B714C"/>
    <w:multiLevelType w:val="hybridMultilevel"/>
    <w:lvl w:ilvl="0">
      <w:lvlJc w:val="left"/>
      <w:lvlText w:val="%1."/>
      <w:numFmt w:val="decimal"/>
      <w:start w:val="5"/>
    </w:lvl>
  </w:abstractNum>
  <w:abstractNum w:abstractNumId="151">
    <w:nsid w:val="327B517E"/>
    <w:multiLevelType w:val="hybridMultilevel"/>
    <w:lvl w:ilvl="0">
      <w:lvlJc w:val="left"/>
      <w:lvlText w:val="%1"/>
      <w:numFmt w:val="decimal"/>
      <w:start w:val="1"/>
    </w:lvl>
    <w:lvl w:ilvl="1">
      <w:lvlJc w:val="left"/>
      <w:lvlText w:val="(%2)"/>
      <w:numFmt w:val="lowerRoman"/>
      <w:start w:val="1"/>
    </w:lvl>
  </w:abstractNum>
  <w:abstractNum w:abstractNumId="152">
    <w:nsid w:val="1F461B51"/>
    <w:multiLevelType w:val="hybridMultilevel"/>
    <w:lvl w:ilvl="0">
      <w:lvlJc w:val="left"/>
      <w:lvlText w:val="%1."/>
      <w:numFmt w:val="decimal"/>
      <w:start w:val="6"/>
    </w:lvl>
    <w:lvl w:ilvl="1">
      <w:lvlJc w:val="left"/>
      <w:lvlText w:val="%2"/>
      <w:numFmt w:val="lowerRoman"/>
      <w:start w:val="1"/>
    </w:lvl>
  </w:abstractNum>
  <w:abstractNum w:abstractNumId="153">
    <w:nsid w:val="29BACF25"/>
    <w:multiLevelType w:val="hybridMultilevel"/>
    <w:lvl w:ilvl="0">
      <w:lvlJc w:val="left"/>
      <w:lvlText w:val="%1."/>
      <w:numFmt w:val="decimal"/>
      <w:start w:val="8"/>
    </w:lvl>
  </w:abstractNum>
  <w:abstractNum w:abstractNumId="154">
    <w:nsid w:val="5D5BABB3"/>
    <w:multiLevelType w:val="hybridMultilevel"/>
    <w:lvl w:ilvl="0">
      <w:lvlJc w:val="left"/>
      <w:lvlText w:val="%1."/>
      <w:numFmt w:val="decimal"/>
      <w:start w:val="9"/>
    </w:lvl>
  </w:abstractNum>
  <w:abstractNum w:abstractNumId="155">
    <w:nsid w:val="51BF6B48"/>
    <w:multiLevelType w:val="hybridMultilevel"/>
    <w:lvl w:ilvl="0">
      <w:lvlJc w:val="left"/>
      <w:lvlText w:val="%1."/>
      <w:numFmt w:val="decimal"/>
      <w:start w:val="11"/>
    </w:lvl>
  </w:abstractNum>
  <w:abstractNum w:abstractNumId="156">
    <w:nsid w:val="7E0F6384"/>
    <w:multiLevelType w:val="hybridMultilevel"/>
    <w:lvl w:ilvl="0">
      <w:lvlJc w:val="left"/>
      <w:lvlText w:val="(%1)"/>
      <w:numFmt w:val="decimal"/>
      <w:start w:val="1"/>
    </w:lvl>
  </w:abstractNum>
  <w:abstractNum w:abstractNumId="157">
    <w:nsid w:val="2B4B8B53"/>
    <w:multiLevelType w:val="hybridMultilevel"/>
    <w:lvl w:ilvl="0">
      <w:lvlJc w:val="left"/>
      <w:lvlText w:val="(%1)"/>
      <w:numFmt w:val="decimal"/>
      <w:start w:val="1"/>
    </w:lvl>
  </w:abstractNum>
  <w:abstractNum w:abstractNumId="158">
    <w:nsid w:val="72E3413A"/>
    <w:multiLevelType w:val="hybridMultilevel"/>
    <w:lvl w:ilvl="0">
      <w:lvlJc w:val="left"/>
      <w:lvlText w:val="%1."/>
      <w:numFmt w:val="decimal"/>
      <w:start w:val="12"/>
    </w:lvl>
  </w:abstractNum>
  <w:abstractNum w:abstractNumId="159">
    <w:nsid w:val="116AE494"/>
    <w:multiLevelType w:val="hybridMultilevel"/>
    <w:lvl w:ilvl="0">
      <w:lvlJc w:val="left"/>
      <w:lvlText w:val="%1."/>
      <w:numFmt w:val="decimal"/>
      <w:start w:val="13"/>
    </w:lvl>
  </w:abstractNum>
  <w:abstractNum w:abstractNumId="160">
    <w:nsid w:val="3494B2FB"/>
    <w:multiLevelType w:val="hybridMultilevel"/>
    <w:lvl w:ilvl="0">
      <w:lvlJc w:val="left"/>
      <w:lvlText w:val="%1."/>
      <w:numFmt w:val="decimal"/>
      <w:start w:val="14"/>
    </w:lvl>
  </w:abstractNum>
  <w:abstractNum w:abstractNumId="161">
    <w:nsid w:val="B13A31"/>
    <w:multiLevelType w:val="hybridMultilevel"/>
    <w:lvl w:ilvl="0">
      <w:lvlJc w:val="left"/>
      <w:lvlText w:val="%1."/>
      <w:numFmt w:val="decimal"/>
      <w:start w:val="16"/>
    </w:lvl>
  </w:abstractNum>
  <w:abstractNum w:abstractNumId="162">
    <w:nsid w:val="64429599"/>
    <w:multiLevelType w:val="hybridMultilevel"/>
    <w:lvl w:ilvl="0">
      <w:lvlJc w:val="left"/>
      <w:lvlText w:val="%1."/>
      <w:numFmt w:val="decimal"/>
      <w:start w:val="16"/>
    </w:lvl>
  </w:abstractNum>
  <w:abstractNum w:abstractNumId="163">
    <w:nsid w:val="631F1690"/>
    <w:multiLevelType w:val="hybridMultilevel"/>
    <w:lvl w:ilvl="0">
      <w:lvlJc w:val="left"/>
      <w:lvlText w:val="(%1)"/>
      <w:numFmt w:val="decimal"/>
      <w:start w:val="1"/>
    </w:lvl>
  </w:abstractNum>
  <w:abstractNum w:abstractNumId="164">
    <w:nsid w:val="25973E32"/>
    <w:multiLevelType w:val="hybridMultilevel"/>
    <w:lvl w:ilvl="0">
      <w:lvlJc w:val="left"/>
      <w:lvlText w:val="%1."/>
      <w:numFmt w:val="decimal"/>
      <w:start w:val="16"/>
    </w:lvl>
  </w:abstractNum>
  <w:abstractNum w:abstractNumId="165">
    <w:nsid w:val="EAD6F57"/>
    <w:multiLevelType w:val="hybridMultilevel"/>
    <w:lvl w:ilvl="0">
      <w:lvlJc w:val="left"/>
      <w:lvlText w:val="%1."/>
      <w:numFmt w:val="decimal"/>
      <w:start w:val="17"/>
    </w:lvl>
    <w:lvl w:ilvl="1">
      <w:lvlJc w:val="left"/>
      <w:lvlText w:val="(%2)"/>
      <w:numFmt w:val="lowerRoman"/>
      <w:start w:val="3"/>
    </w:lvl>
  </w:abstractNum>
  <w:abstractNum w:abstractNumId="166">
    <w:nsid w:val="6EC9D844"/>
    <w:multiLevelType w:val="hybridMultilevel"/>
    <w:lvl w:ilvl="0">
      <w:lvlJc w:val="left"/>
      <w:lvlText w:val="%1."/>
      <w:numFmt w:val="decimal"/>
      <w:start w:val="18"/>
    </w:lvl>
  </w:abstractNum>
  <w:abstractNum w:abstractNumId="167">
    <w:nsid w:val="5C49EAEE"/>
    <w:multiLevelType w:val="hybridMultilevel"/>
    <w:lvl w:ilvl="0">
      <w:lvlJc w:val="left"/>
      <w:lvlText w:val="(%1)"/>
      <w:numFmt w:val="lowerLetter"/>
      <w:start w:val="1"/>
    </w:lvl>
  </w:abstractNum>
  <w:abstractNum w:abstractNumId="168">
    <w:nsid w:val="64AF49B"/>
    <w:multiLevelType w:val="hybridMultilevel"/>
    <w:lvl w:ilvl="0">
      <w:lvlJc w:val="left"/>
      <w:lvlText w:val="%1."/>
      <w:numFmt w:val="decimal"/>
      <w:start w:val="18"/>
    </w:lvl>
  </w:abstractNum>
  <w:abstractNum w:abstractNumId="169">
    <w:nsid w:val="397C46BC"/>
    <w:multiLevelType w:val="hybridMultilevel"/>
    <w:lvl w:ilvl="0">
      <w:lvlJc w:val="left"/>
      <w:lvlText w:val="(%1)"/>
      <w:numFmt w:val="decimal"/>
      <w:start w:val="1"/>
    </w:lvl>
  </w:abstractNum>
  <w:abstractNum w:abstractNumId="170">
    <w:nsid w:val="7E448DE9"/>
    <w:multiLevelType w:val="hybridMultilevel"/>
    <w:lvl w:ilvl="0">
      <w:lvlJc w:val="left"/>
      <w:lvlText w:val="%1."/>
      <w:numFmt w:val="decimal"/>
      <w:start w:val="18"/>
    </w:lvl>
  </w:abstractNum>
  <w:abstractNum w:abstractNumId="171">
    <w:nsid w:val="5A9CC3E5"/>
    <w:multiLevelType w:val="hybridMultilevel"/>
    <w:lvl w:ilvl="0">
      <w:lvlJc w:val="left"/>
      <w:lvlText w:val="(%1)"/>
      <w:numFmt w:val="lowerLetter"/>
      <w:start w:val="2"/>
    </w:lvl>
  </w:abstractNum>
  <w:abstractNum w:abstractNumId="172">
    <w:nsid w:val="1AFE3625"/>
    <w:multiLevelType w:val="hybridMultilevel"/>
    <w:lvl w:ilvl="0">
      <w:lvlJc w:val="left"/>
      <w:lvlText w:val="%1."/>
      <w:numFmt w:val="decimal"/>
      <w:start w:val="19"/>
    </w:lvl>
  </w:abstractNum>
  <w:abstractNum w:abstractNumId="173">
    <w:nsid w:val="3CA88ECF"/>
    <w:multiLevelType w:val="hybridMultilevel"/>
    <w:lvl w:ilvl="0">
      <w:lvlJc w:val="left"/>
      <w:lvlText w:val="%1."/>
      <w:numFmt w:val="decimal"/>
      <w:start w:val="20"/>
    </w:lvl>
  </w:abstractNum>
  <w:abstractNum w:abstractNumId="174">
    <w:nsid w:val="6EBE4208"/>
    <w:multiLevelType w:val="hybridMultilevel"/>
    <w:lvl w:ilvl="0">
      <w:lvlJc w:val="left"/>
      <w:lvlText w:val="%1."/>
      <w:numFmt w:val="decimal"/>
      <w:start w:val="20"/>
    </w:lvl>
  </w:abstractNum>
  <w:abstractNum w:abstractNumId="175">
    <w:nsid w:val="C058DF5"/>
    <w:multiLevelType w:val="hybridMultilevel"/>
    <w:lvl w:ilvl="0">
      <w:lvlJc w:val="left"/>
      <w:lvlText w:val="(%1)"/>
      <w:numFmt w:val="decimal"/>
      <w:start w:val="1"/>
    </w:lvl>
  </w:abstractNum>
  <w:abstractNum w:abstractNumId="176">
    <w:nsid w:val="CBE5BE9"/>
    <w:multiLevelType w:val="hybridMultilevel"/>
    <w:lvl w:ilvl="0">
      <w:lvlJc w:val="left"/>
      <w:lvlText w:val="%1."/>
      <w:numFmt w:val="decimal"/>
      <w:start w:val="20"/>
    </w:lvl>
  </w:abstractNum>
  <w:abstractNum w:abstractNumId="177">
    <w:nsid w:val="3102BBE2"/>
    <w:multiLevelType w:val="hybridMultilevel"/>
    <w:lvl w:ilvl="0">
      <w:lvlJc w:val="left"/>
      <w:lvlText w:val="(%1)"/>
      <w:numFmt w:val="decimal"/>
      <w:start w:val="3"/>
    </w:lvl>
  </w:abstractNum>
  <w:abstractNum w:abstractNumId="178">
    <w:nsid w:val="26A02C5E"/>
    <w:multiLevelType w:val="hybridMultilevel"/>
    <w:lvl w:ilvl="0">
      <w:lvlJc w:val="left"/>
      <w:lvlText w:val="(%1)"/>
      <w:numFmt w:val="decimal"/>
      <w:start w:val="4"/>
    </w:lvl>
  </w:abstractNum>
  <w:abstractNum w:abstractNumId="179">
    <w:nsid w:val="541C8153"/>
    <w:multiLevelType w:val="hybridMultilevel"/>
    <w:lvl w:ilvl="0">
      <w:lvlJc w:val="left"/>
      <w:lvlText w:val="(%1)"/>
      <w:numFmt w:val="decimal"/>
      <w:start w:val="5"/>
    </w:lvl>
  </w:abstractNum>
  <w:abstractNum w:abstractNumId="180">
    <w:nsid w:val="67906F60"/>
    <w:multiLevelType w:val="hybridMultilevel"/>
    <w:lvl w:ilvl="0">
      <w:lvlJc w:val="left"/>
      <w:lvlText w:val="(%1)"/>
      <w:numFmt w:val="lowerLetter"/>
      <w:start w:val="1"/>
    </w:lvl>
  </w:abstractNum>
  <w:abstractNum w:abstractNumId="181">
    <w:nsid w:val="10DB9DAA"/>
    <w:multiLevelType w:val="hybridMultilevel"/>
    <w:lvl w:ilvl="0">
      <w:lvlJc w:val="left"/>
      <w:lvlText w:val="%1."/>
      <w:numFmt w:val="decimal"/>
      <w:start w:val="20"/>
    </w:lvl>
    <w:lvl w:ilvl="1">
      <w:lvlJc w:val="left"/>
      <w:lvlText w:val="(%2)"/>
      <w:numFmt w:val="lowerLetter"/>
      <w:start w:val="3"/>
    </w:lvl>
  </w:abstractNum>
  <w:abstractNum w:abstractNumId="182">
    <w:nsid w:val="697D2D2"/>
    <w:multiLevelType w:val="hybridMultilevel"/>
    <w:lvl w:ilvl="0">
      <w:lvlJc w:val="left"/>
      <w:lvlText w:val="%1."/>
      <w:numFmt w:val="decimal"/>
      <w:start w:val="21"/>
    </w:lvl>
  </w:abstractNum>
  <w:abstractNum w:abstractNumId="183">
    <w:nsid w:val="6D68AB2"/>
    <w:multiLevelType w:val="hybridMultilevel"/>
    <w:lvl w:ilvl="0">
      <w:lvlJc w:val="left"/>
      <w:lvlText w:val="(%1)"/>
      <w:numFmt w:val="lowerRoman"/>
      <w:start w:val="1"/>
    </w:lvl>
  </w:abstractNum>
  <w:abstractNum w:abstractNumId="184">
    <w:nsid w:val="3A966CD0"/>
    <w:multiLevelType w:val="hybridMultilevel"/>
    <w:lvl w:ilvl="0">
      <w:lvlJc w:val="left"/>
      <w:lvlText w:val="%1."/>
      <w:numFmt w:val="decimal"/>
      <w:start w:val="22"/>
    </w:lvl>
  </w:abstractNum>
  <w:abstractNum w:abstractNumId="185">
    <w:nsid w:val="63F37E85"/>
    <w:multiLevelType w:val="hybridMultilevel"/>
    <w:lvl w:ilvl="0">
      <w:lvlJc w:val="left"/>
      <w:lvlText w:val="%1."/>
      <w:numFmt w:val="decimal"/>
      <w:start w:val="23"/>
    </w:lvl>
  </w:abstractNum>
  <w:abstractNum w:abstractNumId="186">
    <w:nsid w:val="5895F5FA"/>
    <w:multiLevelType w:val="hybridMultilevel"/>
    <w:lvl w:ilvl="0">
      <w:lvlJc w:val="left"/>
      <w:lvlText w:val="(%1)"/>
      <w:numFmt w:val="lowerLetter"/>
      <w:start w:val="1"/>
    </w:lvl>
  </w:abstractNum>
  <w:abstractNum w:abstractNumId="187">
    <w:nsid w:val="38A5D054"/>
    <w:multiLevelType w:val="hybridMultilevel"/>
    <w:lvl w:ilvl="0">
      <w:lvlJc w:val="left"/>
      <w:lvlText w:val="(%1)"/>
      <w:numFmt w:val="lowerLetter"/>
      <w:start w:val="3"/>
    </w:lvl>
  </w:abstractNum>
  <w:abstractNum w:abstractNumId="188">
    <w:nsid w:val="F3F09D8"/>
    <w:multiLevelType w:val="hybridMultilevel"/>
    <w:lvl w:ilvl="0">
      <w:lvlJc w:val="left"/>
      <w:lvlText w:val="%1."/>
      <w:numFmt w:val="decimal"/>
      <w:start w:val="24"/>
    </w:lvl>
  </w:abstractNum>
  <w:abstractNum w:abstractNumId="189">
    <w:nsid w:val="4B793735"/>
    <w:multiLevelType w:val="hybridMultilevel"/>
    <w:lvl w:ilvl="0">
      <w:lvlJc w:val="left"/>
      <w:lvlText w:val="%1."/>
      <w:numFmt w:val="decimal"/>
      <w:start w:val="26"/>
    </w:lvl>
  </w:abstractNum>
  <w:abstractNum w:abstractNumId="190">
    <w:nsid w:val="4A10B4E8"/>
    <w:multiLevelType w:val="hybridMultilevel"/>
    <w:lvl w:ilvl="0">
      <w:lvlJc w:val="left"/>
      <w:lvlText w:val="%1."/>
      <w:numFmt w:val="decimal"/>
      <w:start w:val="26"/>
    </w:lvl>
  </w:abstractNum>
  <w:abstractNum w:abstractNumId="191">
    <w:nsid w:val="43D3BCD4"/>
    <w:multiLevelType w:val="hybridMultilevel"/>
    <w:lvl w:ilvl="0">
      <w:lvlJc w:val="left"/>
      <w:lvlText w:val="%1."/>
      <w:numFmt w:val="decimal"/>
      <w:start w:val="1"/>
    </w:lvl>
  </w:abstractNum>
  <w:abstractNum w:abstractNumId="192">
    <w:nsid w:val="4C2A7166"/>
    <w:multiLevelType w:val="hybridMultilevel"/>
    <w:lvl w:ilvl="0">
      <w:lvlJc w:val="left"/>
      <w:lvlText w:val="%1."/>
      <w:numFmt w:val="decimal"/>
      <w:start w:val="1"/>
    </w:lvl>
  </w:abstractNum>
  <w:abstractNum w:abstractNumId="193">
    <w:nsid w:val="2E534A82"/>
    <w:multiLevelType w:val="hybridMultilevel"/>
    <w:lvl w:ilvl="0">
      <w:lvlJc w:val="left"/>
      <w:lvlText w:val="%1."/>
      <w:numFmt w:val="decimal"/>
      <w:start w:val="4"/>
    </w:lvl>
  </w:abstractNum>
  <w:abstractNum w:abstractNumId="194">
    <w:nsid w:val="26F2D364"/>
    <w:multiLevelType w:val="hybridMultilevel"/>
    <w:lvl w:ilvl="0">
      <w:lvlJc w:val="left"/>
      <w:lvlText w:val="(%1)"/>
      <w:numFmt w:val="decimal"/>
      <w:start w:val="1"/>
    </w:lvl>
  </w:abstractNum>
  <w:abstractNum w:abstractNumId="195">
    <w:nsid w:val="71C1AF98"/>
    <w:multiLevelType w:val="hybridMultilevel"/>
    <w:lvl w:ilvl="0">
      <w:lvlJc w:val="left"/>
      <w:lvlText w:val="(%1)"/>
      <w:numFmt w:val="lowerLetter"/>
      <w:start w:val="1"/>
    </w:lvl>
  </w:abstractNum>
  <w:abstractNum w:abstractNumId="196">
    <w:nsid w:val="3D00B9D9"/>
    <w:multiLevelType w:val="hybridMultilevel"/>
    <w:lvl w:ilvl="0">
      <w:lvlJc w:val="left"/>
      <w:lvlText w:val="%1."/>
      <w:numFmt w:val="decimal"/>
      <w:start w:val="1"/>
    </w:lvl>
  </w:abstractNum>
  <w:abstractNum w:abstractNumId="197">
    <w:nsid w:val="15BCABA8"/>
    <w:multiLevelType w:val="hybridMultilevel"/>
    <w:lvl w:ilvl="0">
      <w:lvlJc w:val="left"/>
      <w:lvlText w:val="(%1)"/>
      <w:numFmt w:val="decimal"/>
      <w:start w:val="1"/>
    </w:lvl>
  </w:abstractNum>
  <w:abstractNum w:abstractNumId="198">
    <w:nsid w:val="4E0B9A87"/>
    <w:multiLevelType w:val="hybridMultilevel"/>
    <w:lvl w:ilvl="0">
      <w:lvlJc w:val="left"/>
      <w:lvlText w:val="(%1)"/>
      <w:numFmt w:val="decimal"/>
      <w:start w:val="5"/>
    </w:lvl>
  </w:abstractNum>
  <w:abstractNum w:abstractNumId="199">
    <w:nsid w:val="434BAE75"/>
    <w:multiLevelType w:val="hybridMultilevel"/>
    <w:lvl w:ilvl="0">
      <w:lvlJc w:val="left"/>
      <w:lvlText w:val="(%1)"/>
      <w:numFmt w:val="decimal"/>
      <w:start w:val="1"/>
    </w:lvl>
  </w:abstractNum>
  <w:abstractNum w:abstractNumId="200">
    <w:nsid w:val="4F38F265"/>
    <w:multiLevelType w:val="hybridMultilevel"/>
    <w:lvl w:ilvl="0">
      <w:lvlJc w:val="left"/>
      <w:lvlText w:val="(%1)"/>
      <w:numFmt w:val="decimal"/>
      <w:start w:val="30"/>
    </w:lvl>
  </w:abstractNum>
  <w:abstractNum w:abstractNumId="201">
    <w:nsid w:val="4C502870"/>
    <w:multiLevelType w:val="hybridMultilevel"/>
    <w:lvl w:ilvl="0">
      <w:lvlJc w:val="left"/>
      <w:lvlText w:val="%1."/>
      <w:numFmt w:val="decimal"/>
      <w:start w:val="1"/>
    </w:lvl>
  </w:abstractNum>
  <w:abstractNum w:abstractNumId="202">
    <w:nsid w:val="1DE8725A"/>
    <w:multiLevelType w:val="hybridMultilevel"/>
    <w:lvl w:ilvl="0">
      <w:lvlJc w:val="left"/>
      <w:lvlText w:val="(%1)"/>
      <w:numFmt w:val="decimal"/>
      <w:start w:val="1"/>
    </w:lvl>
  </w:abstractNum>
  <w:abstractNum w:abstractNumId="203">
    <w:nsid w:val="6A37288A"/>
    <w:multiLevelType w:val="hybridMultilevel"/>
    <w:lvl w:ilvl="0">
      <w:lvlJc w:val="left"/>
      <w:lvlText w:val="(%1)"/>
      <w:numFmt w:val="decimal"/>
      <w:start w:val="6"/>
    </w:lvl>
  </w:abstractNum>
  <w:abstractNum w:abstractNumId="204">
    <w:nsid w:val="8F8B73F"/>
    <w:multiLevelType w:val="hybridMultilevel"/>
    <w:lvl w:ilvl="0">
      <w:lvlJc w:val="left"/>
      <w:lvlText w:val="(%1)"/>
      <w:numFmt w:val="decimal"/>
      <w:start w:val="1"/>
    </w:lvl>
  </w:abstractNum>
  <w:abstractNum w:abstractNumId="205">
    <w:nsid w:val="CA6B462"/>
    <w:multiLevelType w:val="hybridMultilevel"/>
    <w:lvl w:ilvl="0">
      <w:lvlJc w:val="left"/>
      <w:lvlText w:val="["/>
      <w:numFmt w:val="bullet"/>
      <w:start w:val="1"/>
    </w:lvl>
  </w:abstractNum>
  <w:abstractNum w:abstractNumId="206">
    <w:nsid w:val="763CB680"/>
    <w:multiLevelType w:val="hybridMultilevel"/>
    <w:lvl w:ilvl="0">
      <w:lvlJc w:val="left"/>
      <w:lvlText w:val="(%1)"/>
      <w:numFmt w:val="lowerLetter"/>
      <w:start w:val="1"/>
    </w:lvl>
  </w:abstractNum>
  <w:abstractNum w:abstractNumId="207">
    <w:nsid w:val="15B71329"/>
    <w:multiLevelType w:val="hybridMultilevel"/>
    <w:lvl w:ilvl="0">
      <w:lvlJc w:val="left"/>
      <w:lvlText w:val="%1."/>
      <w:numFmt w:val="decimal"/>
      <w:start w:val="1"/>
    </w:lvl>
    <w:lvl w:ilvl="1">
      <w:lvlJc w:val="left"/>
      <w:lvlText w:val="(%2)"/>
      <w:numFmt w:val="lowerLetter"/>
      <w:start w:val="1"/>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jpeg"/><Relationship Id="rId187" Type="http://schemas.openxmlformats.org/officeDocument/2006/relationships/image" Target="media/image154.jpe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jpeg"/><Relationship Id="rId343" Type="http://schemas.openxmlformats.org/officeDocument/2006/relationships/image" Target="media/image310.jpeg"/><Relationship Id="rId344" Type="http://schemas.openxmlformats.org/officeDocument/2006/relationships/image" Target="media/image311.png"/><Relationship Id="rId157" Type="http://schemas.openxmlformats.org/officeDocument/2006/relationships/hyperlink" Target="https://www.sec.gov/Archives/edgar/data/1742770/000104746918005832/a2236505zex-3_2.htm" TargetMode="External"/><Relationship Id="rId158" Type="http://schemas.openxmlformats.org/officeDocument/2006/relationships/hyperlink" Target="https://www.sec.gov/Archives/edgar/data/1742770/000104746918006129/a2236581zex-4_3.htm" TargetMode="External"/><Relationship Id="rId159" Type="http://schemas.openxmlformats.org/officeDocument/2006/relationships/hyperlink" Target="https://www.sec.gov/Archives/edgar/data/1742770/000104746918006129/a2236581zex-4_2.htm" TargetMode="External"/><Relationship Id="rId160" Type="http://schemas.openxmlformats.org/officeDocument/2006/relationships/hyperlink" Target="https://www.sec.gov/Archives/edgar/data/1742770/000156459019008887/viot-ex43_6.htm" TargetMode="External"/><Relationship Id="rId161" Type="http://schemas.openxmlformats.org/officeDocument/2006/relationships/hyperlink" Target="https://www.sec.gov/Archives/edgar/data/1742770/000104746918005832/a2236505zex-4_4.htm" TargetMode="External"/><Relationship Id="rId162" Type="http://schemas.openxmlformats.org/officeDocument/2006/relationships/hyperlink" Target="https://www.sec.gov/Archives/edgar/data/1742770/000110465925094717/viot-20241231xex2d5.htm" TargetMode="External"/><Relationship Id="rId163" Type="http://schemas.openxmlformats.org/officeDocument/2006/relationships/hyperlink" Target="https://www.sec.gov/Archives/edgar/data/1742770/000104746918005832/a2236505zex-10_1.htm" TargetMode="External"/><Relationship Id="rId164" Type="http://schemas.openxmlformats.org/officeDocument/2006/relationships/hyperlink" Target="https://www.sec.gov/Archives/edgar/data/1742770/000156459020018219/viot-ex42_757.htm" TargetMode="External"/><Relationship Id="rId165" Type="http://schemas.openxmlformats.org/officeDocument/2006/relationships/hyperlink" Target="https://www.sec.gov/Archives/edgar/data/1742770/000110465924051949/viot-20231231xex4d3.htm" TargetMode="External"/><Relationship Id="rId166" Type="http://schemas.openxmlformats.org/officeDocument/2006/relationships/hyperlink" Target="https://www.sec.gov/Archives/edgar/data/1742770/000110465924051949/viot-20231231xex4d4.htm" TargetMode="External"/><Relationship Id="rId167" Type="http://schemas.openxmlformats.org/officeDocument/2006/relationships/hyperlink" Target="https://www.sec.gov/Archives/edgar/data/1742770/000104746918005832/a2236505zex-10_3.htm" TargetMode="External"/><Relationship Id="rId168" Type="http://schemas.openxmlformats.org/officeDocument/2006/relationships/hyperlink" Target="https://www.sec.gov/Archives/edgar/data/1742770/000104746918005832/a2236505zex-10_4.htm" TargetMode="External"/><Relationship Id="rId169" Type="http://schemas.openxmlformats.org/officeDocument/2006/relationships/hyperlink" Target="https://www.sec.gov/Archives/edgar/data/1742770/000104746918005832/a2236505zex-10_7.htm" TargetMode="External"/><Relationship Id="rId170" Type="http://schemas.openxmlformats.org/officeDocument/2006/relationships/hyperlink" Target="https://www.sec.gov/Archives/edgar/data/1742770/000156459021020524/viot-ex411_253.htm" TargetMode="External"/><Relationship Id="rId171" Type="http://schemas.openxmlformats.org/officeDocument/2006/relationships/hyperlink" Target="https://www.sec.gov/Archives/edgar/data/1742770/000156459021020524/viot-ex416_256.htm" TargetMode="External"/><Relationship Id="rId172" Type="http://schemas.openxmlformats.org/officeDocument/2006/relationships/hyperlink" Target="https://www.sec.gov/Archives/edgar/data/1742770/000110465925094717/viot-20241231xex4d14.htm" TargetMode="External"/><Relationship Id="rId173" Type="http://schemas.openxmlformats.org/officeDocument/2006/relationships/hyperlink" Target="https://www.sec.gov/Archives/edgar/data/1742770/000110465925094717/viot-20241231xex4d15.htm" TargetMode="External"/><Relationship Id="rId174" Type="http://schemas.openxmlformats.org/officeDocument/2006/relationships/hyperlink" Target="https://www.sec.gov/Archives/edgar/data/1742770/000110465925094717/viot-20241231xex4d16.htm" TargetMode="External"/><Relationship Id="rId175" Type="http://schemas.openxmlformats.org/officeDocument/2006/relationships/hyperlink" Target="https://www.sec.gov/Archives/edgar/data/1742770/000110465925094717/viot-20241231xex4d17.htm" TargetMode="External"/><Relationship Id="rId176" Type="http://schemas.openxmlformats.org/officeDocument/2006/relationships/hyperlink" Target="https://www.sec.gov/Archives/edgar/data/1742770/000110465925094717/viot-20241231xex4d18.htm" TargetMode="External"/><Relationship Id="rId177" Type="http://schemas.openxmlformats.org/officeDocument/2006/relationships/hyperlink" Target="https://www.sec.gov/Archives/edgar/data/1742770/000110465925094717/viot-20241231xex4d19.htm" TargetMode="External"/><Relationship Id="rId178" Type="http://schemas.openxmlformats.org/officeDocument/2006/relationships/hyperlink" Target="https://www.sec.gov/Archives/edgar/data/1742770/000110465925094717/viot-20241231xex4d20.htm" TargetMode="External"/><Relationship Id="rId179" Type="http://schemas.openxmlformats.org/officeDocument/2006/relationships/hyperlink" Target="https://www.sec.gov/Archives/edgar/data/1742770/000110465925094717/viot-20241231xex4d21.htm" TargetMode="External"/><Relationship Id="rId180" Type="http://schemas.openxmlformats.org/officeDocument/2006/relationships/hyperlink" Target="https://www.sec.gov/Archives/edgar/data/1742770/000104746918005832/a2236505zex-99_1.htm" TargetMode="External"/><Relationship Id="rId181" Type="http://schemas.openxmlformats.org/officeDocument/2006/relationships/hyperlink" Target="https://www.sec.gov/Archives/edgar/data/1742770/000110465925094717/viot-20241231xex11d2.htm" TargetMode="External"/><Relationship Id="rId182" Type="http://schemas.openxmlformats.org/officeDocument/2006/relationships/hyperlink" Target="https://www.sec.gov/Archives/edgar/data/1742770/000110465924051949/viot-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2026-04-22T06:08:39Z</dcterms:created>
  <dcterms:modified xsi:type="dcterms:W3CDTF">2026-04-22T06:08:39Z</dcterms:modified>
</cp:coreProperties>
</file>